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BDE" w:rsidRDefault="00B23BDE" w:rsidP="00B23BDE">
      <w:pPr>
        <w:pStyle w:val="Titre1"/>
        <w:jc w:val="center"/>
      </w:pPr>
      <w:bookmarkStart w:id="0" w:name="_GoBack"/>
      <w:bookmarkEnd w:id="0"/>
      <w:r>
        <w:t>Questions des Délégués du Personnel</w:t>
      </w:r>
    </w:p>
    <w:p w:rsidR="00B23BDE" w:rsidRDefault="00B23BDE" w:rsidP="00B23BDE">
      <w:pPr>
        <w:jc w:val="center"/>
        <w:rPr>
          <w:rFonts w:ascii="Arial" w:hAnsi="Arial" w:cs="Arial"/>
          <w:sz w:val="40"/>
        </w:rPr>
      </w:pPr>
      <w:r>
        <w:rPr>
          <w:rFonts w:ascii="Arial" w:hAnsi="Arial" w:cs="Arial"/>
          <w:sz w:val="40"/>
        </w:rPr>
        <w:t>Secteur SCE/ISO Toulouse</w:t>
      </w:r>
    </w:p>
    <w:p w:rsidR="00B23BDE" w:rsidRDefault="00B23BDE" w:rsidP="00B23BDE">
      <w:pPr>
        <w:rPr>
          <w:rFonts w:ascii="Arial" w:hAnsi="Arial" w:cs="Arial"/>
        </w:rPr>
      </w:pPr>
    </w:p>
    <w:p w:rsidR="00B23BDE" w:rsidRDefault="00B23BDE" w:rsidP="00B23BDE">
      <w:pPr>
        <w:jc w:val="center"/>
        <w:rPr>
          <w:rFonts w:ascii="Arial" w:hAnsi="Arial" w:cs="Arial"/>
        </w:rPr>
      </w:pPr>
      <w:r>
        <w:rPr>
          <w:rFonts w:ascii="Arial" w:hAnsi="Arial" w:cs="Arial"/>
        </w:rPr>
        <w:t>Réunion du 31/01/2013</w:t>
      </w:r>
    </w:p>
    <w:p w:rsidR="00B23BDE" w:rsidRDefault="00B23BDE" w:rsidP="00B23BDE">
      <w:pPr>
        <w:jc w:val="center"/>
        <w:rPr>
          <w:rFonts w:ascii="Arial" w:hAnsi="Arial" w:cs="Arial"/>
        </w:rPr>
      </w:pPr>
    </w:p>
    <w:p w:rsidR="00B23BDE" w:rsidRDefault="00B23BDE" w:rsidP="00B23BDE">
      <w:pPr>
        <w:jc w:val="center"/>
        <w:rPr>
          <w:rFonts w:ascii="Arial" w:hAnsi="Arial" w:cs="Arial"/>
        </w:rPr>
      </w:pPr>
    </w:p>
    <w:p w:rsidR="00B23BDE" w:rsidRPr="002E7174" w:rsidRDefault="00B23BDE" w:rsidP="00B23BDE">
      <w:pPr>
        <w:rPr>
          <w:rFonts w:ascii="Arial" w:hAnsi="Arial" w:cs="Arial"/>
          <w:b/>
          <w:bCs/>
        </w:rPr>
      </w:pPr>
      <w:r w:rsidRPr="002E7174">
        <w:rPr>
          <w:rFonts w:ascii="Arial" w:hAnsi="Arial" w:cs="Arial"/>
          <w:b/>
          <w:bCs/>
        </w:rPr>
        <w:t>Préambule</w:t>
      </w:r>
    </w:p>
    <w:p w:rsidR="00B23BDE" w:rsidRDefault="00B23BDE" w:rsidP="00B23BDE">
      <w:pPr>
        <w:rPr>
          <w:rFonts w:ascii="Arial" w:hAnsi="Arial" w:cs="Arial"/>
        </w:rPr>
      </w:pPr>
    </w:p>
    <w:p w:rsidR="00B23BDE" w:rsidRPr="00752B15" w:rsidRDefault="00B23BDE" w:rsidP="00EE3A2E">
      <w:pPr>
        <w:rPr>
          <w:rFonts w:ascii="Arial" w:hAnsi="Arial" w:cs="Arial"/>
          <w:color w:val="1F497D" w:themeColor="text2"/>
        </w:rPr>
      </w:pPr>
      <w:r w:rsidRPr="00752B15">
        <w:rPr>
          <w:rFonts w:ascii="Arial" w:hAnsi="Arial" w:cs="Arial"/>
          <w:color w:val="1F497D" w:themeColor="text2"/>
        </w:rPr>
        <w:t>Formation des nouveaux élus : une session de formation non prévue au plan de formation 2013 doit être suivie. Comment cela se passe-t-il ?</w:t>
      </w:r>
    </w:p>
    <w:p w:rsidR="004B6153" w:rsidRDefault="004B6153" w:rsidP="004B6153">
      <w:pPr>
        <w:rPr>
          <w:rFonts w:ascii="Arial" w:hAnsi="Arial" w:cs="Arial"/>
        </w:rPr>
      </w:pPr>
    </w:p>
    <w:p w:rsidR="004B6153" w:rsidRDefault="004B6153" w:rsidP="004B6153">
      <w:pPr>
        <w:rPr>
          <w:rFonts w:ascii="Arial" w:hAnsi="Arial" w:cs="Arial"/>
        </w:rPr>
      </w:pPr>
      <w:r w:rsidRPr="00EE3A2E">
        <w:rPr>
          <w:rFonts w:ascii="Arial" w:hAnsi="Arial" w:cs="Arial"/>
          <w:u w:val="single"/>
        </w:rPr>
        <w:t>Réponse</w:t>
      </w:r>
      <w:r>
        <w:rPr>
          <w:rFonts w:ascii="Arial" w:hAnsi="Arial" w:cs="Arial"/>
        </w:rPr>
        <w:t xml:space="preserve"> : chaque organisation syndicale dispose d’un budget pour financer les formations, les absences sont enregistrées au titre du congé formation </w:t>
      </w:r>
      <w:r w:rsidR="00F91300">
        <w:rPr>
          <w:rFonts w:ascii="Arial" w:hAnsi="Arial" w:cs="Arial"/>
        </w:rPr>
        <w:t>économique sociale et syndicale.</w:t>
      </w:r>
    </w:p>
    <w:p w:rsidR="00B23BDE" w:rsidRDefault="00B23BDE" w:rsidP="00B23BDE">
      <w:pPr>
        <w:rPr>
          <w:rFonts w:ascii="Arial" w:hAnsi="Arial" w:cs="Arial"/>
        </w:rPr>
      </w:pPr>
    </w:p>
    <w:p w:rsidR="00B23BDE" w:rsidRDefault="00B23BDE" w:rsidP="00B23BDE">
      <w:pPr>
        <w:rPr>
          <w:rFonts w:ascii="Arial" w:hAnsi="Arial" w:cs="Arial"/>
        </w:rPr>
      </w:pPr>
    </w:p>
    <w:p w:rsidR="00B23BDE" w:rsidRPr="002E7174" w:rsidRDefault="00B23BDE" w:rsidP="00B23BDE">
      <w:pPr>
        <w:rPr>
          <w:rFonts w:ascii="Arial" w:hAnsi="Arial" w:cs="Arial"/>
          <w:b/>
          <w:bCs/>
        </w:rPr>
      </w:pPr>
      <w:r w:rsidRPr="002E7174">
        <w:rPr>
          <w:rFonts w:ascii="Arial" w:hAnsi="Arial" w:cs="Arial"/>
          <w:b/>
          <w:bCs/>
        </w:rPr>
        <w:t xml:space="preserve">Suivi des questions/réponses précédentes </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Modifications de notes de frais et information des salariés concernés : après prise de renseignement auprès des services concernés, quel est le processus normal ?</w:t>
      </w:r>
    </w:p>
    <w:p w:rsidR="002804DA" w:rsidRDefault="002804DA" w:rsidP="002804DA">
      <w:pPr>
        <w:ind w:left="360"/>
        <w:jc w:val="both"/>
        <w:rPr>
          <w:rFonts w:ascii="Arial" w:hAnsi="Arial" w:cs="Arial"/>
        </w:rPr>
      </w:pPr>
    </w:p>
    <w:p w:rsidR="002804DA" w:rsidRDefault="002804DA" w:rsidP="002E7174">
      <w:pPr>
        <w:jc w:val="both"/>
        <w:rPr>
          <w:rFonts w:ascii="Arial" w:hAnsi="Arial" w:cs="Arial"/>
        </w:rPr>
      </w:pPr>
      <w:r w:rsidRPr="002E7174">
        <w:rPr>
          <w:rFonts w:ascii="Arial" w:hAnsi="Arial" w:cs="Arial"/>
          <w:u w:val="single"/>
        </w:rPr>
        <w:t>Réponse </w:t>
      </w:r>
      <w:r>
        <w:rPr>
          <w:rFonts w:ascii="Arial" w:hAnsi="Arial" w:cs="Arial"/>
        </w:rPr>
        <w:t>:</w:t>
      </w:r>
      <w:r w:rsidR="00DF0C3E">
        <w:rPr>
          <w:rFonts w:ascii="Arial" w:hAnsi="Arial" w:cs="Arial"/>
        </w:rPr>
        <w:t xml:space="preserve"> Le service comptable de Brétigny a été questionné. La direction relance ses interlocuteurs pour obtenir des précisions sur le traitement habituel en cas de modification de la note de frais. </w:t>
      </w:r>
    </w:p>
    <w:p w:rsidR="00B23BDE" w:rsidRDefault="00B23BDE" w:rsidP="00B23BDE">
      <w:pPr>
        <w:ind w:left="720"/>
        <w:jc w:val="both"/>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Mode d’emploi du calendrier Outlook : cela existe-t-il dans le Groupe ? L’interlocuteur pour une éventuelle demande à ce sujet a-t-il été identifié et contacté ?</w:t>
      </w:r>
    </w:p>
    <w:p w:rsidR="002804DA" w:rsidRDefault="002804DA" w:rsidP="002804DA">
      <w:pPr>
        <w:jc w:val="both"/>
        <w:rPr>
          <w:rFonts w:ascii="Arial" w:hAnsi="Arial" w:cs="Arial"/>
        </w:rPr>
      </w:pPr>
      <w:r>
        <w:rPr>
          <w:rFonts w:ascii="Arial" w:hAnsi="Arial" w:cs="Arial"/>
        </w:rPr>
        <w:t xml:space="preserve">     </w:t>
      </w:r>
    </w:p>
    <w:p w:rsidR="002804DA" w:rsidRDefault="002804DA" w:rsidP="002804DA">
      <w:pPr>
        <w:jc w:val="both"/>
        <w:rPr>
          <w:rFonts w:ascii="Arial" w:hAnsi="Arial" w:cs="Arial"/>
        </w:rPr>
      </w:pPr>
      <w:r w:rsidRPr="002E7174">
        <w:rPr>
          <w:rFonts w:ascii="Arial" w:hAnsi="Arial" w:cs="Arial"/>
          <w:u w:val="single"/>
        </w:rPr>
        <w:t>Réponse :</w:t>
      </w:r>
      <w:r w:rsidR="00737283">
        <w:rPr>
          <w:rFonts w:ascii="Arial" w:hAnsi="Arial" w:cs="Arial"/>
        </w:rPr>
        <w:t xml:space="preserve"> Le guide de la messagerie est disponible sur l’intranet et téléchargeable, avec les liens permettant d’accéder au guide des fonctions de base, ou des fonctions avancées, ainsi qu’à la plateforme e learning.</w:t>
      </w:r>
    </w:p>
    <w:p w:rsidR="00B23BDE" w:rsidRDefault="00B23BDE" w:rsidP="00B23BDE">
      <w:pPr>
        <w:pStyle w:val="Paragraphedeliste"/>
        <w:rPr>
          <w:rFonts w:ascii="Arial" w:hAnsi="Arial" w:cs="Arial"/>
        </w:rPr>
      </w:pPr>
    </w:p>
    <w:p w:rsidR="00640653" w:rsidRDefault="00C71642" w:rsidP="00D72962">
      <w:pPr>
        <w:rPr>
          <w:rFonts w:ascii="Arial" w:hAnsi="Arial" w:cs="Arial"/>
        </w:rPr>
      </w:pPr>
      <w:hyperlink r:id="rId6" w:history="1">
        <w:r w:rsidR="00D72962" w:rsidRPr="00D72962">
          <w:rPr>
            <w:rStyle w:val="Lienhypertexte"/>
            <w:rFonts w:ascii="Arial" w:hAnsi="Arial" w:cs="Arial"/>
          </w:rPr>
          <w:t>http://intranet.peopleonline.corp.thales/portal2011/univers_group.cfm?act=details&amp;id=65821</w:t>
        </w:r>
      </w:hyperlink>
    </w:p>
    <w:p w:rsidR="00D72962" w:rsidRPr="00D72962" w:rsidRDefault="00D72962" w:rsidP="00D72962">
      <w:pPr>
        <w:rPr>
          <w:rFonts w:ascii="Arial" w:hAnsi="Arial" w:cs="Arial"/>
        </w:rPr>
      </w:pPr>
    </w:p>
    <w:p w:rsidR="00D72962" w:rsidRDefault="00D72962" w:rsidP="00B23BDE">
      <w:pPr>
        <w:pStyle w:val="Paragraphedeliste"/>
        <w:rPr>
          <w:rFonts w:ascii="Arial" w:hAnsi="Arial" w:cs="Arial"/>
        </w:rPr>
      </w:pPr>
    </w:p>
    <w:p w:rsidR="002E7174" w:rsidRPr="00752B15" w:rsidRDefault="00B23BDE" w:rsidP="002E7174">
      <w:pPr>
        <w:numPr>
          <w:ilvl w:val="0"/>
          <w:numId w:val="1"/>
        </w:numPr>
        <w:jc w:val="both"/>
        <w:rPr>
          <w:rFonts w:ascii="Arial" w:hAnsi="Arial" w:cs="Arial"/>
          <w:color w:val="1F497D" w:themeColor="text2"/>
        </w:rPr>
      </w:pPr>
      <w:r w:rsidRPr="00752B15">
        <w:rPr>
          <w:rFonts w:ascii="Arial" w:hAnsi="Arial" w:cs="Arial"/>
          <w:color w:val="1F497D" w:themeColor="text2"/>
        </w:rPr>
        <w:t>Problème d’eau chaude et chauffage dans les toilettes du PTC : quelles sont les réponses du propriétaire ? Quelles actions ont été décidées ?</w:t>
      </w:r>
    </w:p>
    <w:p w:rsidR="002E7174" w:rsidRDefault="002E7174" w:rsidP="002E7174">
      <w:pPr>
        <w:ind w:left="360"/>
        <w:jc w:val="both"/>
        <w:rPr>
          <w:rFonts w:ascii="Arial" w:hAnsi="Arial" w:cs="Arial"/>
        </w:rPr>
      </w:pPr>
    </w:p>
    <w:p w:rsidR="002804DA" w:rsidRPr="002E7174" w:rsidRDefault="002804DA" w:rsidP="002E7174">
      <w:pPr>
        <w:jc w:val="both"/>
        <w:rPr>
          <w:rFonts w:ascii="Arial" w:hAnsi="Arial" w:cs="Arial"/>
        </w:rPr>
      </w:pPr>
      <w:r w:rsidRPr="002E7174">
        <w:rPr>
          <w:rFonts w:ascii="Arial" w:hAnsi="Arial" w:cs="Arial"/>
          <w:u w:val="single"/>
        </w:rPr>
        <w:t>Réponse </w:t>
      </w:r>
      <w:r w:rsidRPr="002E7174">
        <w:rPr>
          <w:rFonts w:ascii="Arial" w:hAnsi="Arial" w:cs="Arial"/>
        </w:rPr>
        <w:t>:</w:t>
      </w:r>
      <w:r w:rsidR="00737283" w:rsidRPr="002E7174">
        <w:rPr>
          <w:rFonts w:ascii="Arial" w:hAnsi="Arial" w:cs="Arial"/>
        </w:rPr>
        <w:t xml:space="preserve"> </w:t>
      </w:r>
      <w:r w:rsidR="009F1528" w:rsidRPr="002E7174">
        <w:rPr>
          <w:rFonts w:ascii="Arial" w:hAnsi="Arial" w:cs="Arial"/>
        </w:rPr>
        <w:t xml:space="preserve">Le chauffage et l’eau chaude sont rétablis dans les toilettes du PTC depuis le </w:t>
      </w:r>
      <w:r w:rsidR="00846F71" w:rsidRPr="002E7174">
        <w:rPr>
          <w:rFonts w:ascii="Arial" w:hAnsi="Arial" w:cs="Arial"/>
        </w:rPr>
        <w:t>31 janvier</w:t>
      </w:r>
      <w:r w:rsidR="009F1528" w:rsidRPr="002E7174">
        <w:rPr>
          <w:rFonts w:ascii="Arial" w:hAnsi="Arial" w:cs="Arial"/>
        </w:rPr>
        <w:t xml:space="preserve"> dernier</w:t>
      </w:r>
      <w:r w:rsidR="00640653" w:rsidRPr="002E7174">
        <w:rPr>
          <w:rFonts w:ascii="Arial" w:hAnsi="Arial" w:cs="Arial"/>
        </w:rPr>
        <w:t>.</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Erreurs de routage du courrier au PTC : suite à la reprise des négociations avec la Poste, quelles sont les avancées ?</w:t>
      </w:r>
    </w:p>
    <w:p w:rsidR="002804DA" w:rsidRDefault="002804DA" w:rsidP="002804DA">
      <w:pPr>
        <w:jc w:val="both"/>
        <w:rPr>
          <w:rFonts w:ascii="Arial" w:hAnsi="Arial" w:cs="Arial"/>
        </w:rPr>
      </w:pPr>
    </w:p>
    <w:p w:rsidR="002804DA" w:rsidRDefault="002804DA" w:rsidP="00846F71">
      <w:pPr>
        <w:jc w:val="both"/>
        <w:rPr>
          <w:rFonts w:ascii="Arial" w:hAnsi="Arial" w:cs="Arial"/>
        </w:rPr>
      </w:pPr>
      <w:r w:rsidRPr="002E7174">
        <w:rPr>
          <w:rFonts w:ascii="Arial" w:hAnsi="Arial" w:cs="Arial"/>
          <w:u w:val="single"/>
        </w:rPr>
        <w:t>Réponse</w:t>
      </w:r>
      <w:r>
        <w:rPr>
          <w:rFonts w:ascii="Arial" w:hAnsi="Arial" w:cs="Arial"/>
        </w:rPr>
        <w:t xml:space="preserve"> : </w:t>
      </w:r>
      <w:r w:rsidR="00640653">
        <w:rPr>
          <w:rFonts w:ascii="Arial" w:hAnsi="Arial" w:cs="Arial"/>
        </w:rPr>
        <w:t xml:space="preserve">La Direction a recontacté le responsable commercial de la poste : pas de modification de la proposition : il faut payer pour bénéficier d’un cedex particulier. </w:t>
      </w:r>
      <w:r w:rsidR="00846F71">
        <w:rPr>
          <w:rFonts w:ascii="Arial" w:hAnsi="Arial" w:cs="Arial"/>
        </w:rPr>
        <w:t>Notre demande va évoluer a</w:t>
      </w:r>
      <w:r w:rsidR="00640653">
        <w:rPr>
          <w:rFonts w:ascii="Arial" w:hAnsi="Arial" w:cs="Arial"/>
        </w:rPr>
        <w:t>vec l’emménagement des équipes au RDC</w:t>
      </w:r>
      <w:r w:rsidR="00846F71">
        <w:rPr>
          <w:rFonts w:ascii="Arial" w:hAnsi="Arial" w:cs="Arial"/>
        </w:rPr>
        <w:t xml:space="preserve"> du PTC</w:t>
      </w:r>
      <w:r w:rsidR="00640653">
        <w:rPr>
          <w:rFonts w:ascii="Arial" w:hAnsi="Arial" w:cs="Arial"/>
        </w:rPr>
        <w:t>, une boite postale avec cedex associé sera mise en place pour garantir l’arrivée des courriers et colis sur place. Il faudra mener  également une réflexion sur une solution d’expédition.</w:t>
      </w:r>
    </w:p>
    <w:p w:rsidR="00B23BDE" w:rsidRDefault="00B23BDE" w:rsidP="00B23BDE">
      <w:pPr>
        <w:pStyle w:val="Paragraphedeliste"/>
        <w:rPr>
          <w:rFonts w:ascii="Arial" w:hAnsi="Arial" w:cs="Arial"/>
        </w:rPr>
      </w:pPr>
    </w:p>
    <w:p w:rsidR="00DD5A51" w:rsidRDefault="00DD5A51" w:rsidP="00B23BDE">
      <w:pPr>
        <w:rPr>
          <w:rFonts w:ascii="Arial" w:hAnsi="Arial" w:cs="Arial"/>
        </w:rPr>
      </w:pPr>
    </w:p>
    <w:p w:rsidR="00DD5A51" w:rsidRDefault="00DD5A51" w:rsidP="00B23BDE">
      <w:pPr>
        <w:rPr>
          <w:rFonts w:ascii="Arial" w:hAnsi="Arial" w:cs="Arial"/>
        </w:rPr>
      </w:pPr>
    </w:p>
    <w:p w:rsidR="00B23BDE" w:rsidRPr="002E7174" w:rsidRDefault="00B23BDE" w:rsidP="00B23BDE">
      <w:pPr>
        <w:rPr>
          <w:rFonts w:ascii="Arial" w:hAnsi="Arial" w:cs="Arial"/>
          <w:b/>
          <w:bCs/>
        </w:rPr>
      </w:pPr>
      <w:r w:rsidRPr="002E7174">
        <w:rPr>
          <w:rFonts w:ascii="Arial" w:hAnsi="Arial" w:cs="Arial"/>
          <w:b/>
          <w:bCs/>
        </w:rPr>
        <w:t>Questions nouvelles</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Changement d’indice hiérarchique : a-t-il lieu à date anniversaire d’embauche ou au changement d’année civile ?</w:t>
      </w:r>
    </w:p>
    <w:p w:rsidR="002804DA" w:rsidRDefault="002804DA" w:rsidP="002804DA">
      <w:pPr>
        <w:ind w:left="720"/>
        <w:jc w:val="both"/>
        <w:rPr>
          <w:rFonts w:ascii="Arial" w:hAnsi="Arial" w:cs="Arial"/>
        </w:rPr>
      </w:pPr>
    </w:p>
    <w:p w:rsidR="00742E22" w:rsidRDefault="000A447A" w:rsidP="00742E22">
      <w:pPr>
        <w:jc w:val="both"/>
        <w:rPr>
          <w:rFonts w:ascii="Arial" w:hAnsi="Arial" w:cs="Arial"/>
        </w:rPr>
      </w:pPr>
      <w:r w:rsidRPr="002E7174">
        <w:rPr>
          <w:rFonts w:ascii="Arial" w:hAnsi="Arial" w:cs="Arial"/>
          <w:u w:val="single"/>
        </w:rPr>
        <w:t>Réponse</w:t>
      </w:r>
      <w:r>
        <w:rPr>
          <w:rFonts w:ascii="Arial" w:hAnsi="Arial" w:cs="Arial"/>
        </w:rPr>
        <w:t> :</w:t>
      </w:r>
    </w:p>
    <w:p w:rsidR="009F1528" w:rsidRDefault="00742E22" w:rsidP="00742E22">
      <w:pPr>
        <w:jc w:val="both"/>
        <w:rPr>
          <w:rFonts w:ascii="Arial" w:hAnsi="Arial" w:cs="Arial"/>
        </w:rPr>
      </w:pPr>
      <w:r>
        <w:rPr>
          <w:rFonts w:ascii="Arial" w:hAnsi="Arial" w:cs="Arial"/>
        </w:rPr>
        <w:t>Seuls le</w:t>
      </w:r>
      <w:r w:rsidR="00C60349">
        <w:rPr>
          <w:rFonts w:ascii="Arial" w:hAnsi="Arial" w:cs="Arial"/>
        </w:rPr>
        <w:t>s ingénieurs </w:t>
      </w:r>
      <w:r w:rsidR="009276FF">
        <w:rPr>
          <w:rFonts w:ascii="Arial" w:hAnsi="Arial" w:cs="Arial"/>
        </w:rPr>
        <w:t xml:space="preserve">position 2 </w:t>
      </w:r>
      <w:r>
        <w:rPr>
          <w:rFonts w:ascii="Arial" w:hAnsi="Arial" w:cs="Arial"/>
        </w:rPr>
        <w:t>sont concernés par l ‘évolution du coefficient hiérarchique, tous les 3 ans, de manière automatique.</w:t>
      </w:r>
      <w:r w:rsidR="00C60349">
        <w:rPr>
          <w:rFonts w:ascii="Arial" w:hAnsi="Arial" w:cs="Arial"/>
        </w:rPr>
        <w:t xml:space="preserve"> </w:t>
      </w:r>
      <w:r>
        <w:rPr>
          <w:rFonts w:ascii="Arial" w:hAnsi="Arial" w:cs="Arial"/>
        </w:rPr>
        <w:t>Le premier coefficient est 100, et il change tous les 3 ans, jusqu’au coefficient le plus élevé, 135.</w:t>
      </w:r>
    </w:p>
    <w:p w:rsidR="009276FF" w:rsidRDefault="009F1528" w:rsidP="00742E22">
      <w:pPr>
        <w:jc w:val="both"/>
        <w:rPr>
          <w:rFonts w:ascii="Arial" w:hAnsi="Arial" w:cs="Arial"/>
        </w:rPr>
      </w:pPr>
      <w:r>
        <w:rPr>
          <w:rFonts w:ascii="Arial" w:hAnsi="Arial" w:cs="Arial"/>
        </w:rPr>
        <w:t>L</w:t>
      </w:r>
      <w:r w:rsidR="00C60349">
        <w:rPr>
          <w:rFonts w:ascii="Arial" w:hAnsi="Arial" w:cs="Arial"/>
        </w:rPr>
        <w:t xml:space="preserve">a </w:t>
      </w:r>
      <w:r w:rsidR="000A447A">
        <w:rPr>
          <w:rFonts w:ascii="Arial" w:hAnsi="Arial" w:cs="Arial"/>
        </w:rPr>
        <w:t xml:space="preserve">date d’embauche </w:t>
      </w:r>
      <w:r w:rsidR="00C60349">
        <w:rPr>
          <w:rFonts w:ascii="Arial" w:hAnsi="Arial" w:cs="Arial"/>
        </w:rPr>
        <w:t xml:space="preserve">est la référence pour </w:t>
      </w:r>
      <w:r w:rsidR="00742E22">
        <w:rPr>
          <w:rFonts w:ascii="Arial" w:hAnsi="Arial" w:cs="Arial"/>
        </w:rPr>
        <w:t>la date anniversaire d</w:t>
      </w:r>
      <w:r w:rsidR="00C60349">
        <w:rPr>
          <w:rFonts w:ascii="Arial" w:hAnsi="Arial" w:cs="Arial"/>
        </w:rPr>
        <w:t>e changement de coefficient hiérarchique</w:t>
      </w:r>
      <w:r w:rsidR="00742E22">
        <w:rPr>
          <w:rFonts w:ascii="Arial" w:hAnsi="Arial" w:cs="Arial"/>
        </w:rPr>
        <w:t>, tous les 3 ans</w:t>
      </w:r>
      <w:r>
        <w:rPr>
          <w:rFonts w:ascii="Arial" w:hAnsi="Arial" w:cs="Arial"/>
        </w:rPr>
        <w:t>.</w:t>
      </w:r>
      <w:r w:rsidR="009276FF">
        <w:rPr>
          <w:rFonts w:ascii="Arial" w:hAnsi="Arial" w:cs="Arial"/>
        </w:rPr>
        <w:t xml:space="preserve"> </w:t>
      </w:r>
    </w:p>
    <w:p w:rsidR="000A447A" w:rsidRDefault="009276FF" w:rsidP="009F1528">
      <w:pPr>
        <w:jc w:val="both"/>
        <w:rPr>
          <w:rFonts w:ascii="Arial" w:hAnsi="Arial" w:cs="Arial"/>
        </w:rPr>
      </w:pPr>
      <w:r>
        <w:rPr>
          <w:rFonts w:ascii="Arial" w:hAnsi="Arial" w:cs="Arial"/>
        </w:rPr>
        <w:t xml:space="preserve">Un autre événement </w:t>
      </w:r>
      <w:r w:rsidR="009F1528">
        <w:rPr>
          <w:rFonts w:ascii="Arial" w:hAnsi="Arial" w:cs="Arial"/>
        </w:rPr>
        <w:t xml:space="preserve">peut être </w:t>
      </w:r>
      <w:r>
        <w:rPr>
          <w:rFonts w:ascii="Arial" w:hAnsi="Arial" w:cs="Arial"/>
        </w:rPr>
        <w:t>pris en compte</w:t>
      </w:r>
      <w:r w:rsidR="009F1528">
        <w:rPr>
          <w:rFonts w:ascii="Arial" w:hAnsi="Arial" w:cs="Arial"/>
        </w:rPr>
        <w:t> </w:t>
      </w:r>
      <w:r w:rsidR="00742E22">
        <w:rPr>
          <w:rFonts w:ascii="Arial" w:hAnsi="Arial" w:cs="Arial"/>
        </w:rPr>
        <w:t xml:space="preserve">pour définir la date anniversaire de changement de coefficient </w:t>
      </w:r>
      <w:r w:rsidR="009F1528">
        <w:rPr>
          <w:rFonts w:ascii="Arial" w:hAnsi="Arial" w:cs="Arial"/>
        </w:rPr>
        <w:t>:</w:t>
      </w:r>
      <w:r>
        <w:rPr>
          <w:rFonts w:ascii="Arial" w:hAnsi="Arial" w:cs="Arial"/>
        </w:rPr>
        <w:t xml:space="preserve"> </w:t>
      </w:r>
      <w:r w:rsidR="002E7174">
        <w:rPr>
          <w:rFonts w:ascii="Arial" w:hAnsi="Arial" w:cs="Arial"/>
        </w:rPr>
        <w:t xml:space="preserve">il s’agit de </w:t>
      </w:r>
      <w:r>
        <w:rPr>
          <w:rFonts w:ascii="Arial" w:hAnsi="Arial" w:cs="Arial"/>
        </w:rPr>
        <w:t>la</w:t>
      </w:r>
      <w:r w:rsidR="000A447A">
        <w:rPr>
          <w:rFonts w:ascii="Arial" w:hAnsi="Arial" w:cs="Arial"/>
        </w:rPr>
        <w:t xml:space="preserve"> date de promotion</w:t>
      </w:r>
      <w:r w:rsidR="009F1528">
        <w:rPr>
          <w:rFonts w:ascii="Arial" w:hAnsi="Arial" w:cs="Arial"/>
        </w:rPr>
        <w:t xml:space="preserve">, dans le cas de la promotion IC position 1 à IC position 2, ou </w:t>
      </w:r>
      <w:r w:rsidR="00317F8F">
        <w:rPr>
          <w:rFonts w:ascii="Arial" w:hAnsi="Arial" w:cs="Arial"/>
        </w:rPr>
        <w:t xml:space="preserve">dans le cas du </w:t>
      </w:r>
      <w:r w:rsidR="009F1528">
        <w:rPr>
          <w:rFonts w:ascii="Arial" w:hAnsi="Arial" w:cs="Arial"/>
        </w:rPr>
        <w:t>technicien promu cadre</w:t>
      </w:r>
      <w:r w:rsidR="00742E22">
        <w:rPr>
          <w:rFonts w:ascii="Arial" w:hAnsi="Arial" w:cs="Arial"/>
        </w:rPr>
        <w:t>,</w:t>
      </w:r>
      <w:r w:rsidR="009F1528">
        <w:rPr>
          <w:rFonts w:ascii="Arial" w:hAnsi="Arial" w:cs="Arial"/>
        </w:rPr>
        <w:t xml:space="preserve"> IC position 2.</w:t>
      </w:r>
    </w:p>
    <w:p w:rsidR="00B23BDE" w:rsidRDefault="00B23BDE" w:rsidP="00B23BDE">
      <w:pPr>
        <w:ind w:left="720"/>
        <w:jc w:val="both"/>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Des régularisations de salaire ont eu lieu en fin d’année pour certains salariés. À quoi correspondent ces régularisations ?</w:t>
      </w:r>
    </w:p>
    <w:p w:rsidR="002804DA" w:rsidRDefault="002804DA" w:rsidP="002804DA">
      <w:pPr>
        <w:ind w:left="720"/>
        <w:jc w:val="both"/>
        <w:rPr>
          <w:rFonts w:ascii="Arial" w:hAnsi="Arial" w:cs="Arial"/>
        </w:rPr>
      </w:pPr>
    </w:p>
    <w:p w:rsidR="000A447A" w:rsidRDefault="002804DA" w:rsidP="002E7174">
      <w:pPr>
        <w:jc w:val="both"/>
        <w:rPr>
          <w:rFonts w:ascii="Arial" w:hAnsi="Arial" w:cs="Arial"/>
        </w:rPr>
      </w:pPr>
      <w:r>
        <w:rPr>
          <w:rFonts w:ascii="Arial" w:hAnsi="Arial" w:cs="Arial"/>
        </w:rPr>
        <w:t xml:space="preserve"> </w:t>
      </w:r>
      <w:r w:rsidR="000A447A" w:rsidRPr="002E7174">
        <w:rPr>
          <w:rFonts w:ascii="Arial" w:hAnsi="Arial" w:cs="Arial"/>
          <w:u w:val="single"/>
        </w:rPr>
        <w:t>Réponse</w:t>
      </w:r>
      <w:r w:rsidR="000A447A">
        <w:rPr>
          <w:rFonts w:ascii="Arial" w:hAnsi="Arial" w:cs="Arial"/>
        </w:rPr>
        <w:t xml:space="preserve"> : </w:t>
      </w:r>
      <w:r w:rsidR="00317F8F">
        <w:rPr>
          <w:rFonts w:ascii="Arial" w:hAnsi="Arial" w:cs="Arial"/>
        </w:rPr>
        <w:t xml:space="preserve">il y a eu des </w:t>
      </w:r>
      <w:r w:rsidR="000A447A">
        <w:rPr>
          <w:rFonts w:ascii="Arial" w:hAnsi="Arial" w:cs="Arial"/>
        </w:rPr>
        <w:t>changement</w:t>
      </w:r>
      <w:r w:rsidR="00317F8F">
        <w:rPr>
          <w:rFonts w:ascii="Arial" w:hAnsi="Arial" w:cs="Arial"/>
        </w:rPr>
        <w:t>s</w:t>
      </w:r>
      <w:r w:rsidR="000A447A">
        <w:rPr>
          <w:rFonts w:ascii="Arial" w:hAnsi="Arial" w:cs="Arial"/>
        </w:rPr>
        <w:t xml:space="preserve"> de coefficient hiérarchique à date anniversaire </w:t>
      </w:r>
      <w:r w:rsidR="00317F8F">
        <w:rPr>
          <w:rFonts w:ascii="Arial" w:hAnsi="Arial" w:cs="Arial"/>
        </w:rPr>
        <w:t>au cours de l’année 2012. Pour les personnes concernées</w:t>
      </w:r>
      <w:r w:rsidR="000A447A">
        <w:rPr>
          <w:rFonts w:ascii="Arial" w:hAnsi="Arial" w:cs="Arial"/>
        </w:rPr>
        <w:t xml:space="preserve"> </w:t>
      </w:r>
      <w:r>
        <w:rPr>
          <w:rFonts w:ascii="Arial" w:hAnsi="Arial" w:cs="Arial"/>
        </w:rPr>
        <w:t xml:space="preserve"> </w:t>
      </w:r>
      <w:r w:rsidR="00317F8F">
        <w:rPr>
          <w:rFonts w:ascii="Arial" w:hAnsi="Arial" w:cs="Arial"/>
        </w:rPr>
        <w:t xml:space="preserve">la </w:t>
      </w:r>
      <w:r w:rsidR="000A447A">
        <w:rPr>
          <w:rFonts w:ascii="Arial" w:hAnsi="Arial" w:cs="Arial"/>
        </w:rPr>
        <w:t xml:space="preserve">comparaison de la rémunération de base </w:t>
      </w:r>
      <w:r w:rsidR="00317F8F">
        <w:rPr>
          <w:rFonts w:ascii="Arial" w:hAnsi="Arial" w:cs="Arial"/>
        </w:rPr>
        <w:t xml:space="preserve">2012 </w:t>
      </w:r>
      <w:r w:rsidR="002E7174">
        <w:rPr>
          <w:rFonts w:ascii="Arial" w:hAnsi="Arial" w:cs="Arial"/>
        </w:rPr>
        <w:t>avec le</w:t>
      </w:r>
      <w:r w:rsidR="000A447A">
        <w:rPr>
          <w:rFonts w:ascii="Arial" w:hAnsi="Arial" w:cs="Arial"/>
        </w:rPr>
        <w:t xml:space="preserve"> minima + 5% du nouveau coefficient</w:t>
      </w:r>
      <w:r w:rsidR="00317F8F">
        <w:rPr>
          <w:rFonts w:ascii="Arial" w:hAnsi="Arial" w:cs="Arial"/>
        </w:rPr>
        <w:t xml:space="preserve"> a été effectuée fin 2012</w:t>
      </w:r>
      <w:r w:rsidR="002E7174">
        <w:rPr>
          <w:rFonts w:ascii="Arial" w:hAnsi="Arial" w:cs="Arial"/>
        </w:rPr>
        <w:t>,</w:t>
      </w:r>
      <w:r w:rsidR="00317F8F">
        <w:rPr>
          <w:rFonts w:ascii="Arial" w:hAnsi="Arial" w:cs="Arial"/>
        </w:rPr>
        <w:t xml:space="preserve"> au prorata temporis</w:t>
      </w:r>
      <w:r w:rsidR="000A447A">
        <w:rPr>
          <w:rFonts w:ascii="Arial" w:hAnsi="Arial" w:cs="Arial"/>
        </w:rPr>
        <w:t>. Des mesures salariales ont compensé les éventuels écarts</w:t>
      </w:r>
      <w:r w:rsidR="009276FF">
        <w:rPr>
          <w:rFonts w:ascii="Arial" w:hAnsi="Arial" w:cs="Arial"/>
        </w:rPr>
        <w:t xml:space="preserve"> observés</w:t>
      </w:r>
      <w:r w:rsidR="00317F8F">
        <w:rPr>
          <w:rFonts w:ascii="Arial" w:hAnsi="Arial" w:cs="Arial"/>
        </w:rPr>
        <w:t>, fin 2012</w:t>
      </w:r>
      <w:r w:rsidR="000A447A">
        <w:rPr>
          <w:rFonts w:ascii="Arial" w:hAnsi="Arial" w:cs="Arial"/>
        </w:rPr>
        <w:t>.</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La RRH peut-elle rappeler les règles de changement d’indice pour les techniciens ?</w:t>
      </w:r>
    </w:p>
    <w:p w:rsidR="002804DA" w:rsidRDefault="002804DA" w:rsidP="002804DA">
      <w:pPr>
        <w:ind w:left="720"/>
        <w:jc w:val="both"/>
        <w:rPr>
          <w:rFonts w:ascii="Arial" w:hAnsi="Arial" w:cs="Arial"/>
        </w:rPr>
      </w:pPr>
    </w:p>
    <w:p w:rsidR="000A447A" w:rsidRDefault="000A447A" w:rsidP="000A447A">
      <w:pPr>
        <w:jc w:val="both"/>
        <w:rPr>
          <w:rFonts w:ascii="Arial" w:hAnsi="Arial" w:cs="Arial"/>
        </w:rPr>
      </w:pPr>
      <w:r w:rsidRPr="002E7174">
        <w:rPr>
          <w:rFonts w:ascii="Arial" w:hAnsi="Arial" w:cs="Arial"/>
          <w:u w:val="single"/>
        </w:rPr>
        <w:t>Réponse</w:t>
      </w:r>
      <w:r>
        <w:rPr>
          <w:rFonts w:ascii="Arial" w:hAnsi="Arial" w:cs="Arial"/>
        </w:rPr>
        <w:t> : à chaque niveau et échelon correspond un indice. Le changement a lieu lors de la promotion d’un niveau/échelon à un autre.</w:t>
      </w:r>
    </w:p>
    <w:p w:rsidR="000A447A" w:rsidRDefault="000A447A" w:rsidP="000A447A">
      <w:pPr>
        <w:jc w:val="both"/>
        <w:rPr>
          <w:rFonts w:ascii="Arial" w:hAnsi="Arial" w:cs="Arial"/>
        </w:rPr>
      </w:pPr>
    </w:p>
    <w:tbl>
      <w:tblPr>
        <w:tblStyle w:val="Grilledutableau"/>
        <w:tblW w:w="0" w:type="auto"/>
        <w:tblLook w:val="04A0" w:firstRow="1" w:lastRow="0" w:firstColumn="1" w:lastColumn="0" w:noHBand="0" w:noVBand="1"/>
      </w:tblPr>
      <w:tblGrid>
        <w:gridCol w:w="3070"/>
        <w:gridCol w:w="3071"/>
        <w:gridCol w:w="3071"/>
      </w:tblGrid>
      <w:tr w:rsidR="000A447A" w:rsidTr="000A447A">
        <w:tc>
          <w:tcPr>
            <w:tcW w:w="3070" w:type="dxa"/>
          </w:tcPr>
          <w:p w:rsidR="000A447A" w:rsidRDefault="000A447A" w:rsidP="002804DA">
            <w:pPr>
              <w:jc w:val="center"/>
              <w:rPr>
                <w:rFonts w:ascii="Arial" w:hAnsi="Arial" w:cs="Arial"/>
              </w:rPr>
            </w:pPr>
            <w:r>
              <w:rPr>
                <w:rFonts w:ascii="Arial" w:hAnsi="Arial" w:cs="Arial"/>
              </w:rPr>
              <w:t>NIVEAU</w:t>
            </w:r>
          </w:p>
        </w:tc>
        <w:tc>
          <w:tcPr>
            <w:tcW w:w="3071" w:type="dxa"/>
          </w:tcPr>
          <w:p w:rsidR="000A447A" w:rsidRDefault="000A447A" w:rsidP="002804DA">
            <w:pPr>
              <w:jc w:val="center"/>
              <w:rPr>
                <w:rFonts w:ascii="Arial" w:hAnsi="Arial" w:cs="Arial"/>
              </w:rPr>
            </w:pPr>
            <w:r>
              <w:rPr>
                <w:rFonts w:ascii="Arial" w:hAnsi="Arial" w:cs="Arial"/>
              </w:rPr>
              <w:t>ECHELON</w:t>
            </w:r>
          </w:p>
        </w:tc>
        <w:tc>
          <w:tcPr>
            <w:tcW w:w="3071" w:type="dxa"/>
          </w:tcPr>
          <w:p w:rsidR="000A447A" w:rsidRDefault="002804DA" w:rsidP="002804DA">
            <w:pPr>
              <w:jc w:val="center"/>
              <w:rPr>
                <w:rFonts w:ascii="Arial" w:hAnsi="Arial" w:cs="Arial"/>
              </w:rPr>
            </w:pPr>
            <w:r>
              <w:rPr>
                <w:rFonts w:ascii="Arial" w:hAnsi="Arial" w:cs="Arial"/>
              </w:rPr>
              <w:t>COEFFICIENT</w:t>
            </w:r>
          </w:p>
        </w:tc>
      </w:tr>
      <w:tr w:rsidR="000A447A" w:rsidTr="000A447A">
        <w:tc>
          <w:tcPr>
            <w:tcW w:w="3070" w:type="dxa"/>
          </w:tcPr>
          <w:p w:rsidR="000A447A" w:rsidRDefault="000A447A" w:rsidP="002804DA">
            <w:pPr>
              <w:jc w:val="center"/>
              <w:rPr>
                <w:rFonts w:ascii="Arial" w:hAnsi="Arial" w:cs="Arial"/>
              </w:rPr>
            </w:pPr>
            <w:r>
              <w:rPr>
                <w:rFonts w:ascii="Arial" w:hAnsi="Arial" w:cs="Arial"/>
              </w:rPr>
              <w:t>V</w:t>
            </w:r>
          </w:p>
        </w:tc>
        <w:tc>
          <w:tcPr>
            <w:tcW w:w="3071" w:type="dxa"/>
          </w:tcPr>
          <w:p w:rsidR="000A447A" w:rsidRDefault="000A447A" w:rsidP="002804DA">
            <w:pPr>
              <w:jc w:val="center"/>
              <w:rPr>
                <w:rFonts w:ascii="Arial" w:hAnsi="Arial" w:cs="Arial"/>
              </w:rPr>
            </w:pPr>
            <w:r>
              <w:rPr>
                <w:rFonts w:ascii="Arial" w:hAnsi="Arial" w:cs="Arial"/>
              </w:rPr>
              <w:t>3</w:t>
            </w:r>
          </w:p>
        </w:tc>
        <w:tc>
          <w:tcPr>
            <w:tcW w:w="3071" w:type="dxa"/>
          </w:tcPr>
          <w:p w:rsidR="000A447A" w:rsidRDefault="000A447A" w:rsidP="002804DA">
            <w:pPr>
              <w:jc w:val="center"/>
              <w:rPr>
                <w:rFonts w:ascii="Arial" w:hAnsi="Arial" w:cs="Arial"/>
              </w:rPr>
            </w:pPr>
            <w:r>
              <w:rPr>
                <w:rFonts w:ascii="Arial" w:hAnsi="Arial" w:cs="Arial"/>
              </w:rPr>
              <w:t>365</w:t>
            </w:r>
          </w:p>
        </w:tc>
      </w:tr>
      <w:tr w:rsidR="000A447A" w:rsidTr="000A447A">
        <w:trPr>
          <w:trHeight w:val="385"/>
        </w:trPr>
        <w:tc>
          <w:tcPr>
            <w:tcW w:w="3070" w:type="dxa"/>
          </w:tcPr>
          <w:p w:rsidR="000A447A" w:rsidRDefault="000A447A" w:rsidP="002804DA">
            <w:pPr>
              <w:jc w:val="center"/>
              <w:rPr>
                <w:rFonts w:ascii="Arial" w:hAnsi="Arial" w:cs="Arial"/>
              </w:rPr>
            </w:pPr>
            <w:r>
              <w:rPr>
                <w:rFonts w:ascii="Arial" w:hAnsi="Arial" w:cs="Arial"/>
              </w:rPr>
              <w:t>V</w:t>
            </w:r>
          </w:p>
        </w:tc>
        <w:tc>
          <w:tcPr>
            <w:tcW w:w="3071" w:type="dxa"/>
          </w:tcPr>
          <w:p w:rsidR="000A447A" w:rsidRDefault="000A447A" w:rsidP="002804DA">
            <w:pPr>
              <w:jc w:val="center"/>
              <w:rPr>
                <w:rFonts w:ascii="Arial" w:hAnsi="Arial" w:cs="Arial"/>
              </w:rPr>
            </w:pPr>
            <w:r>
              <w:rPr>
                <w:rFonts w:ascii="Arial" w:hAnsi="Arial" w:cs="Arial"/>
              </w:rPr>
              <w:t>2</w:t>
            </w:r>
          </w:p>
        </w:tc>
        <w:tc>
          <w:tcPr>
            <w:tcW w:w="3071" w:type="dxa"/>
          </w:tcPr>
          <w:p w:rsidR="000A447A" w:rsidRDefault="000A447A" w:rsidP="002804DA">
            <w:pPr>
              <w:jc w:val="center"/>
              <w:rPr>
                <w:rFonts w:ascii="Arial" w:hAnsi="Arial" w:cs="Arial"/>
              </w:rPr>
            </w:pPr>
            <w:r>
              <w:rPr>
                <w:rFonts w:ascii="Arial" w:hAnsi="Arial" w:cs="Arial"/>
              </w:rPr>
              <w:t>335</w:t>
            </w:r>
          </w:p>
        </w:tc>
      </w:tr>
      <w:tr w:rsidR="000A447A" w:rsidTr="000A447A">
        <w:tc>
          <w:tcPr>
            <w:tcW w:w="3070" w:type="dxa"/>
          </w:tcPr>
          <w:p w:rsidR="000A447A" w:rsidRDefault="000A447A" w:rsidP="002804DA">
            <w:pPr>
              <w:jc w:val="center"/>
              <w:rPr>
                <w:rFonts w:ascii="Arial" w:hAnsi="Arial" w:cs="Arial"/>
              </w:rPr>
            </w:pPr>
            <w:r>
              <w:rPr>
                <w:rFonts w:ascii="Arial" w:hAnsi="Arial" w:cs="Arial"/>
              </w:rPr>
              <w:t>V</w:t>
            </w:r>
          </w:p>
        </w:tc>
        <w:tc>
          <w:tcPr>
            <w:tcW w:w="3071" w:type="dxa"/>
          </w:tcPr>
          <w:p w:rsidR="000A447A" w:rsidRDefault="000A447A" w:rsidP="002804DA">
            <w:pPr>
              <w:jc w:val="center"/>
              <w:rPr>
                <w:rFonts w:ascii="Arial" w:hAnsi="Arial" w:cs="Arial"/>
              </w:rPr>
            </w:pPr>
            <w:r>
              <w:rPr>
                <w:rFonts w:ascii="Arial" w:hAnsi="Arial" w:cs="Arial"/>
              </w:rPr>
              <w:t>1</w:t>
            </w:r>
          </w:p>
        </w:tc>
        <w:tc>
          <w:tcPr>
            <w:tcW w:w="3071" w:type="dxa"/>
          </w:tcPr>
          <w:p w:rsidR="000A447A" w:rsidRDefault="0014539F" w:rsidP="002804DA">
            <w:pPr>
              <w:jc w:val="center"/>
              <w:rPr>
                <w:rFonts w:ascii="Arial" w:hAnsi="Arial" w:cs="Arial"/>
              </w:rPr>
            </w:pPr>
            <w:r>
              <w:rPr>
                <w:rFonts w:ascii="Arial" w:hAnsi="Arial" w:cs="Arial"/>
              </w:rPr>
              <w:t>305</w:t>
            </w:r>
          </w:p>
        </w:tc>
      </w:tr>
      <w:tr w:rsidR="000A447A" w:rsidTr="000A447A">
        <w:tc>
          <w:tcPr>
            <w:tcW w:w="3070" w:type="dxa"/>
          </w:tcPr>
          <w:p w:rsidR="000A447A" w:rsidRDefault="000A447A" w:rsidP="002804DA">
            <w:pPr>
              <w:jc w:val="center"/>
              <w:rPr>
                <w:rFonts w:ascii="Arial" w:hAnsi="Arial" w:cs="Arial"/>
              </w:rPr>
            </w:pPr>
            <w:r>
              <w:rPr>
                <w:rFonts w:ascii="Arial" w:hAnsi="Arial" w:cs="Arial"/>
              </w:rPr>
              <w:t>IV</w:t>
            </w:r>
          </w:p>
        </w:tc>
        <w:tc>
          <w:tcPr>
            <w:tcW w:w="3071" w:type="dxa"/>
          </w:tcPr>
          <w:p w:rsidR="000A447A" w:rsidRDefault="000A447A" w:rsidP="002804DA">
            <w:pPr>
              <w:jc w:val="center"/>
              <w:rPr>
                <w:rFonts w:ascii="Arial" w:hAnsi="Arial" w:cs="Arial"/>
              </w:rPr>
            </w:pPr>
            <w:r>
              <w:rPr>
                <w:rFonts w:ascii="Arial" w:hAnsi="Arial" w:cs="Arial"/>
              </w:rPr>
              <w:t>3</w:t>
            </w:r>
          </w:p>
        </w:tc>
        <w:tc>
          <w:tcPr>
            <w:tcW w:w="3071" w:type="dxa"/>
          </w:tcPr>
          <w:p w:rsidR="000A447A" w:rsidRDefault="0014539F" w:rsidP="002804DA">
            <w:pPr>
              <w:jc w:val="center"/>
              <w:rPr>
                <w:rFonts w:ascii="Arial" w:hAnsi="Arial" w:cs="Arial"/>
              </w:rPr>
            </w:pPr>
            <w:r>
              <w:rPr>
                <w:rFonts w:ascii="Arial" w:hAnsi="Arial" w:cs="Arial"/>
              </w:rPr>
              <w:t>285</w:t>
            </w:r>
          </w:p>
        </w:tc>
      </w:tr>
      <w:tr w:rsidR="000A447A" w:rsidTr="000A447A">
        <w:tc>
          <w:tcPr>
            <w:tcW w:w="3070" w:type="dxa"/>
          </w:tcPr>
          <w:p w:rsidR="000A447A" w:rsidRDefault="000A447A" w:rsidP="002804DA">
            <w:pPr>
              <w:jc w:val="center"/>
              <w:rPr>
                <w:rFonts w:ascii="Arial" w:hAnsi="Arial" w:cs="Arial"/>
              </w:rPr>
            </w:pPr>
            <w:r>
              <w:rPr>
                <w:rFonts w:ascii="Arial" w:hAnsi="Arial" w:cs="Arial"/>
              </w:rPr>
              <w:t>IV</w:t>
            </w:r>
          </w:p>
        </w:tc>
        <w:tc>
          <w:tcPr>
            <w:tcW w:w="3071" w:type="dxa"/>
          </w:tcPr>
          <w:p w:rsidR="000A447A" w:rsidRDefault="000A447A" w:rsidP="002804DA">
            <w:pPr>
              <w:jc w:val="center"/>
              <w:rPr>
                <w:rFonts w:ascii="Arial" w:hAnsi="Arial" w:cs="Arial"/>
              </w:rPr>
            </w:pPr>
            <w:r>
              <w:rPr>
                <w:rFonts w:ascii="Arial" w:hAnsi="Arial" w:cs="Arial"/>
              </w:rPr>
              <w:t>2</w:t>
            </w:r>
          </w:p>
        </w:tc>
        <w:tc>
          <w:tcPr>
            <w:tcW w:w="3071" w:type="dxa"/>
          </w:tcPr>
          <w:p w:rsidR="000A447A" w:rsidRDefault="0089533F" w:rsidP="002804DA">
            <w:pPr>
              <w:jc w:val="center"/>
              <w:rPr>
                <w:rFonts w:ascii="Arial" w:hAnsi="Arial" w:cs="Arial"/>
              </w:rPr>
            </w:pPr>
            <w:r>
              <w:rPr>
                <w:rFonts w:ascii="Arial" w:hAnsi="Arial" w:cs="Arial"/>
              </w:rPr>
              <w:t>270</w:t>
            </w:r>
          </w:p>
        </w:tc>
      </w:tr>
      <w:tr w:rsidR="000A447A" w:rsidTr="000A447A">
        <w:tc>
          <w:tcPr>
            <w:tcW w:w="3070" w:type="dxa"/>
          </w:tcPr>
          <w:p w:rsidR="000A447A" w:rsidRDefault="000A447A" w:rsidP="002804DA">
            <w:pPr>
              <w:jc w:val="center"/>
              <w:rPr>
                <w:rFonts w:ascii="Arial" w:hAnsi="Arial" w:cs="Arial"/>
              </w:rPr>
            </w:pPr>
            <w:r>
              <w:rPr>
                <w:rFonts w:ascii="Arial" w:hAnsi="Arial" w:cs="Arial"/>
              </w:rPr>
              <w:t>IV</w:t>
            </w:r>
          </w:p>
        </w:tc>
        <w:tc>
          <w:tcPr>
            <w:tcW w:w="3071" w:type="dxa"/>
          </w:tcPr>
          <w:p w:rsidR="000A447A" w:rsidRDefault="000A447A" w:rsidP="002804DA">
            <w:pPr>
              <w:jc w:val="center"/>
              <w:rPr>
                <w:rFonts w:ascii="Arial" w:hAnsi="Arial" w:cs="Arial"/>
              </w:rPr>
            </w:pPr>
            <w:r>
              <w:rPr>
                <w:rFonts w:ascii="Arial" w:hAnsi="Arial" w:cs="Arial"/>
              </w:rPr>
              <w:t>1</w:t>
            </w:r>
          </w:p>
        </w:tc>
        <w:tc>
          <w:tcPr>
            <w:tcW w:w="3071" w:type="dxa"/>
          </w:tcPr>
          <w:p w:rsidR="000A447A" w:rsidRDefault="0089533F" w:rsidP="002804DA">
            <w:pPr>
              <w:jc w:val="center"/>
              <w:rPr>
                <w:rFonts w:ascii="Arial" w:hAnsi="Arial" w:cs="Arial"/>
              </w:rPr>
            </w:pPr>
            <w:r>
              <w:rPr>
                <w:rFonts w:ascii="Arial" w:hAnsi="Arial" w:cs="Arial"/>
              </w:rPr>
              <w:t>255</w:t>
            </w:r>
          </w:p>
        </w:tc>
      </w:tr>
    </w:tbl>
    <w:p w:rsidR="000A447A" w:rsidRDefault="000A447A" w:rsidP="000A447A">
      <w:pPr>
        <w:jc w:val="both"/>
        <w:rPr>
          <w:rFonts w:ascii="Arial" w:hAnsi="Arial" w:cs="Arial"/>
        </w:rPr>
      </w:pP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Tutorat : les derniers embauchés ont-il tous un tuteur ? Les tuteurs ont-il eu du temps de dégagé pour cette tâche ?</w:t>
      </w:r>
    </w:p>
    <w:p w:rsidR="002804DA" w:rsidRDefault="002804DA" w:rsidP="002804DA">
      <w:pPr>
        <w:jc w:val="both"/>
        <w:rPr>
          <w:rFonts w:ascii="Arial" w:hAnsi="Arial" w:cs="Arial"/>
        </w:rPr>
      </w:pPr>
      <w:r>
        <w:rPr>
          <w:rFonts w:ascii="Arial" w:hAnsi="Arial" w:cs="Arial"/>
        </w:rPr>
        <w:t xml:space="preserve">      </w:t>
      </w:r>
    </w:p>
    <w:p w:rsidR="002804DA" w:rsidRDefault="002804DA" w:rsidP="002804DA">
      <w:pPr>
        <w:jc w:val="both"/>
        <w:rPr>
          <w:rFonts w:ascii="Arial" w:hAnsi="Arial" w:cs="Arial"/>
        </w:rPr>
      </w:pPr>
      <w:r w:rsidRPr="002E7174">
        <w:rPr>
          <w:rFonts w:ascii="Arial" w:hAnsi="Arial" w:cs="Arial"/>
          <w:u w:val="single"/>
        </w:rPr>
        <w:t>Réponse</w:t>
      </w:r>
      <w:r>
        <w:rPr>
          <w:rFonts w:ascii="Arial" w:hAnsi="Arial" w:cs="Arial"/>
        </w:rPr>
        <w:t> :</w:t>
      </w:r>
      <w:r w:rsidR="00F46E4A">
        <w:rPr>
          <w:rFonts w:ascii="Arial" w:hAnsi="Arial" w:cs="Arial"/>
        </w:rPr>
        <w:t xml:space="preserve"> les derniers embauchés n’ont pas tous un tuteur désigné. Cela sera vérifié lors de la réunion prévue lundi 4 février prochain, avec les managers. La direction est vigilante à la mise en œuvre des méthodologies qui favorisent la bonne intégration des nouveaux collaborateurs.</w:t>
      </w:r>
    </w:p>
    <w:p w:rsidR="004A01B1" w:rsidRDefault="004A01B1" w:rsidP="002804DA">
      <w:pPr>
        <w:jc w:val="both"/>
        <w:rPr>
          <w:rFonts w:ascii="Arial" w:hAnsi="Arial" w:cs="Arial"/>
        </w:rPr>
      </w:pPr>
      <w:r>
        <w:rPr>
          <w:rFonts w:ascii="Arial" w:hAnsi="Arial" w:cs="Arial"/>
        </w:rPr>
        <w:t>Il n’y a pas eu de temps dégagé pour cette tâche en 2012.</w:t>
      </w:r>
    </w:p>
    <w:p w:rsidR="004A01B1" w:rsidRDefault="004A01B1" w:rsidP="002804DA">
      <w:pPr>
        <w:jc w:val="both"/>
        <w:rPr>
          <w:rFonts w:ascii="Arial" w:hAnsi="Arial" w:cs="Arial"/>
        </w:rPr>
      </w:pPr>
      <w:r>
        <w:rPr>
          <w:rFonts w:ascii="Arial" w:hAnsi="Arial" w:cs="Arial"/>
        </w:rPr>
        <w:t xml:space="preserve">En 2013 un numéro d’OS particulier est défini pour les réunions internes et </w:t>
      </w:r>
      <w:r w:rsidR="00317F8F">
        <w:rPr>
          <w:rFonts w:ascii="Arial" w:hAnsi="Arial" w:cs="Arial"/>
        </w:rPr>
        <w:t xml:space="preserve">le </w:t>
      </w:r>
      <w:r>
        <w:rPr>
          <w:rFonts w:ascii="Arial" w:hAnsi="Arial" w:cs="Arial"/>
        </w:rPr>
        <w:t>tutorat.</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La dernière revalorisation de la participation forfaitaire au repas date de 2010. Une augmentation du remboursement du repas Cnes est-elle prévue pour 2013 ?</w:t>
      </w:r>
    </w:p>
    <w:p w:rsidR="002804DA" w:rsidRDefault="002804DA" w:rsidP="002804DA">
      <w:pPr>
        <w:rPr>
          <w:rFonts w:ascii="Arial" w:hAnsi="Arial" w:cs="Arial"/>
        </w:rPr>
      </w:pPr>
    </w:p>
    <w:p w:rsidR="002804DA" w:rsidRDefault="002804DA" w:rsidP="002804DA">
      <w:pPr>
        <w:rPr>
          <w:rFonts w:ascii="Arial" w:hAnsi="Arial" w:cs="Arial"/>
        </w:rPr>
      </w:pPr>
      <w:r w:rsidRPr="002E7174">
        <w:rPr>
          <w:rFonts w:ascii="Arial" w:hAnsi="Arial" w:cs="Arial"/>
          <w:u w:val="single"/>
        </w:rPr>
        <w:lastRenderedPageBreak/>
        <w:t>Réponse</w:t>
      </w:r>
      <w:r>
        <w:rPr>
          <w:rFonts w:ascii="Arial" w:hAnsi="Arial" w:cs="Arial"/>
        </w:rPr>
        <w:t xml:space="preserve"> : </w:t>
      </w:r>
      <w:r w:rsidR="004A01B1">
        <w:rPr>
          <w:rFonts w:ascii="Arial" w:hAnsi="Arial" w:cs="Arial"/>
        </w:rPr>
        <w:t>Cela n’est pas prévu.</w:t>
      </w:r>
    </w:p>
    <w:p w:rsidR="002804DA" w:rsidRPr="002804DA" w:rsidRDefault="002804DA" w:rsidP="002804DA">
      <w:pPr>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Des nouveaux embauchés vont arriver, ainsi que des stagiaires. De nouvelles surfaces de locaux devraient être louées d’ici mars (information issue de la plénière de janvier). Ces locaux supplémentaires seront-ils suffisants ? La Direction peut-elle présenter la ventilation prévisionnelle des salariés sur l’ensemble des locaux ?</w:t>
      </w:r>
    </w:p>
    <w:p w:rsidR="004A01B1" w:rsidRDefault="004A01B1" w:rsidP="004A01B1">
      <w:pPr>
        <w:jc w:val="both"/>
        <w:rPr>
          <w:rFonts w:ascii="Arial" w:hAnsi="Arial" w:cs="Arial"/>
        </w:rPr>
      </w:pPr>
    </w:p>
    <w:p w:rsidR="004A01B1" w:rsidRDefault="004A01B1" w:rsidP="00317F8F">
      <w:pPr>
        <w:jc w:val="both"/>
        <w:rPr>
          <w:rFonts w:ascii="Arial" w:hAnsi="Arial" w:cs="Arial"/>
        </w:rPr>
      </w:pPr>
      <w:r w:rsidRPr="002E7174">
        <w:rPr>
          <w:rFonts w:ascii="Arial" w:hAnsi="Arial" w:cs="Arial"/>
          <w:u w:val="single"/>
        </w:rPr>
        <w:t>Réponse </w:t>
      </w:r>
      <w:r>
        <w:rPr>
          <w:rFonts w:ascii="Arial" w:hAnsi="Arial" w:cs="Arial"/>
        </w:rPr>
        <w:t xml:space="preserve">: </w:t>
      </w:r>
      <w:r w:rsidR="00572C5C">
        <w:rPr>
          <w:rFonts w:ascii="Arial" w:hAnsi="Arial" w:cs="Arial"/>
        </w:rPr>
        <w:t xml:space="preserve">l’exercice de positionnement des collaborateurs entre l’étage actuel et le rez de chaussée n’a pas été réalisé avec précision. Le principe est que les collaborateurs </w:t>
      </w:r>
      <w:r w:rsidR="00317F8F">
        <w:rPr>
          <w:rFonts w:ascii="Arial" w:hAnsi="Arial" w:cs="Arial"/>
        </w:rPr>
        <w:t>SECURELAB</w:t>
      </w:r>
      <w:r w:rsidR="00572C5C">
        <w:rPr>
          <w:rFonts w:ascii="Arial" w:hAnsi="Arial" w:cs="Arial"/>
        </w:rPr>
        <w:t xml:space="preserve"> resteront au 1</w:t>
      </w:r>
      <w:r w:rsidR="00572C5C" w:rsidRPr="00572C5C">
        <w:rPr>
          <w:rFonts w:ascii="Arial" w:hAnsi="Arial" w:cs="Arial"/>
          <w:vertAlign w:val="superscript"/>
        </w:rPr>
        <w:t>er</w:t>
      </w:r>
      <w:r w:rsidR="00572C5C">
        <w:rPr>
          <w:rFonts w:ascii="Arial" w:hAnsi="Arial" w:cs="Arial"/>
        </w:rPr>
        <w:t xml:space="preserve"> étage. Les collaborateurs n’appartenant pas au </w:t>
      </w:r>
      <w:r w:rsidR="00317F8F">
        <w:rPr>
          <w:rFonts w:ascii="Arial" w:hAnsi="Arial" w:cs="Arial"/>
        </w:rPr>
        <w:t>SECURELAB</w:t>
      </w:r>
      <w:r w:rsidR="00572C5C">
        <w:rPr>
          <w:rFonts w:ascii="Arial" w:hAnsi="Arial" w:cs="Arial"/>
        </w:rPr>
        <w:t xml:space="preserve"> s’installeront au rez de chaussée.</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La carte Amex n’étant pas acceptée partout, quelles sont les conditions pour bénéficier d’une avance de frais ? Comment procéder ?</w:t>
      </w:r>
    </w:p>
    <w:p w:rsidR="008D4633" w:rsidRDefault="008D4633" w:rsidP="008D4633">
      <w:pPr>
        <w:pStyle w:val="Paragraphedeliste"/>
        <w:rPr>
          <w:rFonts w:ascii="Arial" w:hAnsi="Arial" w:cs="Arial"/>
        </w:rPr>
      </w:pPr>
    </w:p>
    <w:p w:rsidR="00C90BF5" w:rsidRDefault="00C90BF5" w:rsidP="008D4633">
      <w:pPr>
        <w:jc w:val="both"/>
        <w:rPr>
          <w:rFonts w:ascii="Arial" w:hAnsi="Arial" w:cs="Arial"/>
        </w:rPr>
      </w:pPr>
      <w:r>
        <w:rPr>
          <w:rFonts w:ascii="Arial" w:hAnsi="Arial" w:cs="Arial"/>
        </w:rPr>
        <w:t>Précisions apportées à la question : concerne les collaborateurs ne souhaitant pas engager la dépense lorsqu’elles sont en mission de longue durée.</w:t>
      </w:r>
    </w:p>
    <w:p w:rsidR="00C90BF5" w:rsidRDefault="00C90BF5" w:rsidP="008D4633">
      <w:pPr>
        <w:jc w:val="both"/>
        <w:rPr>
          <w:rFonts w:ascii="Arial" w:hAnsi="Arial" w:cs="Arial"/>
        </w:rPr>
      </w:pPr>
    </w:p>
    <w:p w:rsidR="00C90BF5" w:rsidRDefault="008D4633" w:rsidP="00D72962">
      <w:pPr>
        <w:jc w:val="both"/>
        <w:rPr>
          <w:rFonts w:ascii="Arial" w:hAnsi="Arial" w:cs="Arial"/>
        </w:rPr>
      </w:pPr>
      <w:r w:rsidRPr="002E7174">
        <w:rPr>
          <w:rFonts w:ascii="Arial" w:hAnsi="Arial" w:cs="Arial"/>
          <w:u w:val="single"/>
        </w:rPr>
        <w:t>Réponse</w:t>
      </w:r>
      <w:r>
        <w:rPr>
          <w:rFonts w:ascii="Arial" w:hAnsi="Arial" w:cs="Arial"/>
        </w:rPr>
        <w:t xml:space="preserve"> : </w:t>
      </w:r>
    </w:p>
    <w:p w:rsidR="00C90BF5" w:rsidRDefault="00C90BF5" w:rsidP="00752B15">
      <w:pPr>
        <w:jc w:val="both"/>
        <w:rPr>
          <w:rFonts w:ascii="Arial" w:hAnsi="Arial" w:cs="Arial"/>
        </w:rPr>
      </w:pPr>
      <w:r>
        <w:rPr>
          <w:rFonts w:ascii="Arial" w:hAnsi="Arial" w:cs="Arial"/>
        </w:rPr>
        <w:t xml:space="preserve">La règle générale </w:t>
      </w:r>
      <w:r w:rsidR="00D72962">
        <w:rPr>
          <w:rFonts w:ascii="Arial" w:hAnsi="Arial" w:cs="Arial"/>
        </w:rPr>
        <w:t xml:space="preserve">Groupe </w:t>
      </w:r>
      <w:r>
        <w:rPr>
          <w:rFonts w:ascii="Arial" w:hAnsi="Arial" w:cs="Arial"/>
        </w:rPr>
        <w:t xml:space="preserve">est d’utiliser la carte AMEX </w:t>
      </w:r>
      <w:r w:rsidR="00752B15">
        <w:rPr>
          <w:rFonts w:ascii="Arial" w:hAnsi="Arial" w:cs="Arial"/>
        </w:rPr>
        <w:t xml:space="preserve">Corporate </w:t>
      </w:r>
      <w:r>
        <w:rPr>
          <w:rFonts w:ascii="Arial" w:hAnsi="Arial" w:cs="Arial"/>
        </w:rPr>
        <w:t>avec débit différé au cours de la mission.</w:t>
      </w:r>
      <w:r w:rsidR="00464B7F">
        <w:rPr>
          <w:rFonts w:ascii="Arial" w:hAnsi="Arial" w:cs="Arial"/>
        </w:rPr>
        <w:t xml:space="preserve"> La note de frais établie à la suite de la mission sera ensuite traitée rapidement.</w:t>
      </w:r>
      <w:r w:rsidR="00D72962">
        <w:rPr>
          <w:rFonts w:ascii="Arial" w:hAnsi="Arial" w:cs="Arial"/>
        </w:rPr>
        <w:t xml:space="preserve"> Il est possible de retirer du liquide avec la carte AMEX, avec débit différé, pour régler les différentes dépenses lors de missions de courte durée. Il suffit de contacter AMEX pour faire activer l’option.</w:t>
      </w:r>
    </w:p>
    <w:p w:rsidR="008D4633" w:rsidRPr="00D72962" w:rsidRDefault="00752B15" w:rsidP="00D72962">
      <w:pPr>
        <w:jc w:val="both"/>
        <w:rPr>
          <w:rFonts w:ascii="Arial" w:hAnsi="Arial" w:cs="Arial"/>
        </w:rPr>
      </w:pPr>
      <w:r w:rsidRPr="00D72962">
        <w:rPr>
          <w:rFonts w:ascii="Arial" w:hAnsi="Arial" w:cs="Arial"/>
        </w:rPr>
        <w:t xml:space="preserve">La demande d’avance de frais </w:t>
      </w:r>
      <w:r w:rsidR="00D72962" w:rsidRPr="00D72962">
        <w:rPr>
          <w:rFonts w:ascii="Arial" w:hAnsi="Arial" w:cs="Arial"/>
        </w:rPr>
        <w:t>est à effectuer sous Marco Polo</w:t>
      </w:r>
      <w:r w:rsidRPr="00D72962">
        <w:rPr>
          <w:rFonts w:ascii="Arial" w:hAnsi="Arial" w:cs="Arial"/>
        </w:rPr>
        <w:t>.</w:t>
      </w:r>
      <w:r w:rsidR="00D72962" w:rsidRPr="00D72962">
        <w:rPr>
          <w:rFonts w:ascii="Arial" w:hAnsi="Arial" w:cs="Arial"/>
        </w:rPr>
        <w:t xml:space="preserve"> Elle est soumise à validation de la hiérarchie. Elle doit être régularisée dans les 15 jours qui suivent la mission.</w:t>
      </w:r>
    </w:p>
    <w:p w:rsidR="00B23BDE" w:rsidRDefault="00B23BDE" w:rsidP="00B23BDE">
      <w:pPr>
        <w:pStyle w:val="Paragraphedeliste"/>
        <w:rPr>
          <w:rFonts w:ascii="Arial" w:hAnsi="Arial" w:cs="Arial"/>
        </w:rPr>
      </w:pP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La RRH peut-elle rappeler les règles de calcul de l’intéressement/participation pour techniciens ?</w:t>
      </w:r>
    </w:p>
    <w:p w:rsidR="002804DA" w:rsidRDefault="002804DA" w:rsidP="008D4633">
      <w:pPr>
        <w:jc w:val="both"/>
        <w:rPr>
          <w:rFonts w:ascii="Arial" w:hAnsi="Arial" w:cs="Arial"/>
        </w:rPr>
      </w:pPr>
    </w:p>
    <w:p w:rsidR="00D50524" w:rsidRDefault="008D4633" w:rsidP="00D50524">
      <w:pPr>
        <w:jc w:val="both"/>
        <w:rPr>
          <w:rFonts w:ascii="Arial" w:hAnsi="Arial" w:cs="Arial"/>
        </w:rPr>
      </w:pPr>
      <w:r w:rsidRPr="00752B15">
        <w:rPr>
          <w:rFonts w:ascii="Arial" w:hAnsi="Arial" w:cs="Arial"/>
          <w:u w:val="single"/>
        </w:rPr>
        <w:t>Réponse</w:t>
      </w:r>
      <w:r w:rsidR="002804DA">
        <w:rPr>
          <w:rFonts w:ascii="Arial" w:hAnsi="Arial" w:cs="Arial"/>
        </w:rPr>
        <w:t> :</w:t>
      </w:r>
      <w:r w:rsidR="00862ED5">
        <w:rPr>
          <w:rFonts w:ascii="Arial" w:hAnsi="Arial" w:cs="Arial"/>
        </w:rPr>
        <w:t xml:space="preserve"> </w:t>
      </w:r>
    </w:p>
    <w:p w:rsidR="00DD5A51" w:rsidRDefault="00CC2F16" w:rsidP="008D4633">
      <w:pPr>
        <w:jc w:val="both"/>
        <w:rPr>
          <w:rFonts w:ascii="Arial" w:hAnsi="Arial" w:cs="Arial"/>
        </w:rPr>
      </w:pPr>
      <w:r>
        <w:rPr>
          <w:rFonts w:ascii="Arial" w:hAnsi="Arial" w:cs="Arial"/>
        </w:rPr>
        <w:t>Il n’y a pas de règles de calcul de l’intéressement et de la participation par catégorie professionnelle.</w:t>
      </w:r>
    </w:p>
    <w:p w:rsidR="00CC2F16" w:rsidRDefault="00CC2F16" w:rsidP="008D4633">
      <w:pPr>
        <w:jc w:val="both"/>
        <w:rPr>
          <w:rFonts w:ascii="Arial" w:hAnsi="Arial" w:cs="Arial"/>
        </w:rPr>
      </w:pPr>
    </w:p>
    <w:p w:rsidR="00CC2F16" w:rsidRDefault="00CC2F16" w:rsidP="008D4633">
      <w:pPr>
        <w:jc w:val="both"/>
        <w:rPr>
          <w:rFonts w:ascii="Arial" w:hAnsi="Arial" w:cs="Arial"/>
        </w:rPr>
      </w:pPr>
      <w:r>
        <w:rPr>
          <w:rFonts w:ascii="Arial" w:hAnsi="Arial" w:cs="Arial"/>
        </w:rPr>
        <w:t>L’un des principes de l’intéressement et de la participation est leur caractère collectif.</w:t>
      </w:r>
    </w:p>
    <w:p w:rsidR="00CC2F16" w:rsidRDefault="00CC2F16" w:rsidP="008D4633">
      <w:pPr>
        <w:jc w:val="both"/>
        <w:rPr>
          <w:rFonts w:ascii="Arial" w:hAnsi="Arial" w:cs="Arial"/>
        </w:rPr>
      </w:pPr>
    </w:p>
    <w:p w:rsidR="00EE63DC" w:rsidRDefault="00EE63DC" w:rsidP="00DD5A51">
      <w:pPr>
        <w:jc w:val="both"/>
        <w:rPr>
          <w:rFonts w:ascii="Arial" w:hAnsi="Arial" w:cs="Arial"/>
        </w:rPr>
      </w:pPr>
      <w:r>
        <w:rPr>
          <w:rFonts w:ascii="Arial" w:hAnsi="Arial" w:cs="Arial"/>
        </w:rPr>
        <w:t>Participation, intéressement et plan d’épargne entreprise sont les principales composantes de l’épargne salariale.</w:t>
      </w:r>
    </w:p>
    <w:p w:rsidR="00EE63DC" w:rsidRDefault="00EE63DC" w:rsidP="00DD5A51">
      <w:pPr>
        <w:jc w:val="both"/>
        <w:rPr>
          <w:rFonts w:ascii="Arial" w:hAnsi="Arial" w:cs="Arial"/>
        </w:rPr>
      </w:pPr>
    </w:p>
    <w:p w:rsidR="00EE63DC" w:rsidRDefault="00EE63DC" w:rsidP="00B22DBD">
      <w:pPr>
        <w:jc w:val="both"/>
        <w:rPr>
          <w:rFonts w:ascii="Arial" w:hAnsi="Arial" w:cs="Arial"/>
        </w:rPr>
      </w:pPr>
      <w:r>
        <w:rPr>
          <w:rFonts w:ascii="Arial" w:hAnsi="Arial" w:cs="Arial"/>
        </w:rPr>
        <w:t>La participation des salariés aux résultats de l’entreprise est le principal système légal.</w:t>
      </w:r>
      <w:r w:rsidR="007B56A0">
        <w:rPr>
          <w:rFonts w:ascii="Arial" w:hAnsi="Arial" w:cs="Arial"/>
        </w:rPr>
        <w:t xml:space="preserve"> Ce système est obligatoire dans les entreprises de plus de 50 salariés.  Cette obligation apparaît lorsque les résultats financiers de l’exercice font apparaître un bénéfice permettant la constitution de la Reserve Spéciale de Participation. </w:t>
      </w:r>
      <w:r w:rsidR="00B22DBD">
        <w:rPr>
          <w:rFonts w:ascii="Arial" w:hAnsi="Arial" w:cs="Arial"/>
        </w:rPr>
        <w:t>Dans ce cas, l</w:t>
      </w:r>
      <w:r w:rsidR="007B56A0">
        <w:rPr>
          <w:rFonts w:ascii="Arial" w:hAnsi="Arial" w:cs="Arial"/>
        </w:rPr>
        <w:t>es modalités du mécanisme de participation sont fixées par un accord entre l’employeur et les représentants des salariés.</w:t>
      </w:r>
    </w:p>
    <w:p w:rsidR="007B56A0" w:rsidRDefault="007B56A0" w:rsidP="00DD5A51">
      <w:pPr>
        <w:jc w:val="both"/>
        <w:rPr>
          <w:rFonts w:ascii="Arial" w:hAnsi="Arial" w:cs="Arial"/>
        </w:rPr>
      </w:pPr>
    </w:p>
    <w:p w:rsidR="00DD5A51" w:rsidRDefault="007B56A0" w:rsidP="007B56A0">
      <w:pPr>
        <w:jc w:val="both"/>
        <w:rPr>
          <w:rFonts w:ascii="Arial" w:hAnsi="Arial" w:cs="Arial"/>
        </w:rPr>
      </w:pPr>
      <w:r>
        <w:rPr>
          <w:rFonts w:ascii="Arial" w:hAnsi="Arial" w:cs="Arial"/>
        </w:rPr>
        <w:t xml:space="preserve">L’intéressement est un accord facultatif, que l’entreprise peut conclure si elle le souhaite avec les représentants des salariés, </w:t>
      </w:r>
      <w:r w:rsidR="00DD5A51">
        <w:rPr>
          <w:rFonts w:ascii="Arial" w:hAnsi="Arial" w:cs="Arial"/>
        </w:rPr>
        <w:t>de façon à associer les salariés aux performances économiques et financières de l’entreprise.</w:t>
      </w:r>
    </w:p>
    <w:p w:rsidR="007B56A0" w:rsidRDefault="007B56A0" w:rsidP="007B56A0">
      <w:pPr>
        <w:jc w:val="both"/>
        <w:rPr>
          <w:rFonts w:ascii="Arial" w:hAnsi="Arial" w:cs="Arial"/>
        </w:rPr>
      </w:pPr>
    </w:p>
    <w:p w:rsidR="007B56A0" w:rsidRDefault="007B56A0" w:rsidP="007B56A0">
      <w:pPr>
        <w:jc w:val="both"/>
        <w:rPr>
          <w:rFonts w:ascii="Arial" w:hAnsi="Arial" w:cs="Arial"/>
        </w:rPr>
      </w:pPr>
      <w:r>
        <w:rPr>
          <w:rFonts w:ascii="Arial" w:hAnsi="Arial" w:cs="Arial"/>
        </w:rPr>
        <w:t>Les plans d’épargne salariale (PEE, PERCO) sont des systèmes facultatifs, permettant aux salariés de se constituer un portefeuille de valeurs mobilières avec des avantages fiscaux incitatifs.</w:t>
      </w:r>
    </w:p>
    <w:p w:rsidR="007B56A0" w:rsidRDefault="007B56A0" w:rsidP="007B56A0">
      <w:pPr>
        <w:jc w:val="both"/>
        <w:rPr>
          <w:rFonts w:ascii="Arial" w:hAnsi="Arial" w:cs="Arial"/>
        </w:rPr>
      </w:pPr>
    </w:p>
    <w:p w:rsidR="00DD5A51" w:rsidRDefault="00DD5A51" w:rsidP="00B22DBD">
      <w:pPr>
        <w:jc w:val="both"/>
        <w:rPr>
          <w:rFonts w:ascii="Arial" w:hAnsi="Arial" w:cs="Arial"/>
        </w:rPr>
      </w:pPr>
      <w:r>
        <w:rPr>
          <w:rFonts w:ascii="Arial" w:hAnsi="Arial" w:cs="Arial"/>
        </w:rPr>
        <w:t xml:space="preserve">Les salariés titulaires d’un </w:t>
      </w:r>
      <w:r w:rsidR="00B22DBD">
        <w:rPr>
          <w:rFonts w:ascii="Arial" w:hAnsi="Arial" w:cs="Arial"/>
        </w:rPr>
        <w:t>contrat de travail,</w:t>
      </w:r>
      <w:r>
        <w:rPr>
          <w:rFonts w:ascii="Arial" w:hAnsi="Arial" w:cs="Arial"/>
        </w:rPr>
        <w:t xml:space="preserve"> </w:t>
      </w:r>
      <w:r w:rsidR="00B22DBD">
        <w:rPr>
          <w:rFonts w:ascii="Arial" w:hAnsi="Arial" w:cs="Arial"/>
        </w:rPr>
        <w:t>sous condition d’ancienneté</w:t>
      </w:r>
      <w:r>
        <w:rPr>
          <w:rFonts w:ascii="Arial" w:hAnsi="Arial" w:cs="Arial"/>
        </w:rPr>
        <w:t xml:space="preserve"> </w:t>
      </w:r>
      <w:r w:rsidR="00B22DBD">
        <w:rPr>
          <w:rFonts w:ascii="Arial" w:hAnsi="Arial" w:cs="Arial"/>
        </w:rPr>
        <w:t xml:space="preserve">minimale </w:t>
      </w:r>
      <w:r>
        <w:rPr>
          <w:rFonts w:ascii="Arial" w:hAnsi="Arial" w:cs="Arial"/>
        </w:rPr>
        <w:t>de 3 mois</w:t>
      </w:r>
      <w:r w:rsidR="00B22DBD">
        <w:rPr>
          <w:rFonts w:ascii="Arial" w:hAnsi="Arial" w:cs="Arial"/>
        </w:rPr>
        <w:t>,</w:t>
      </w:r>
      <w:r>
        <w:rPr>
          <w:rFonts w:ascii="Arial" w:hAnsi="Arial" w:cs="Arial"/>
        </w:rPr>
        <w:t xml:space="preserve"> </w:t>
      </w:r>
      <w:r w:rsidR="00B22DBD">
        <w:rPr>
          <w:rFonts w:ascii="Arial" w:hAnsi="Arial" w:cs="Arial"/>
        </w:rPr>
        <w:t>sont bénéficiaires des deux dispositifs</w:t>
      </w:r>
      <w:r>
        <w:rPr>
          <w:rFonts w:ascii="Arial" w:hAnsi="Arial" w:cs="Arial"/>
        </w:rPr>
        <w:t>.</w:t>
      </w:r>
    </w:p>
    <w:p w:rsidR="007B56A0" w:rsidRDefault="007B56A0" w:rsidP="00DD5A51">
      <w:pPr>
        <w:jc w:val="both"/>
        <w:rPr>
          <w:rFonts w:ascii="Arial" w:hAnsi="Arial" w:cs="Arial"/>
        </w:rPr>
      </w:pPr>
    </w:p>
    <w:p w:rsidR="007B56A0" w:rsidRDefault="00EE63DC" w:rsidP="007B56A0">
      <w:pPr>
        <w:jc w:val="both"/>
        <w:rPr>
          <w:rFonts w:ascii="Arial" w:hAnsi="Arial" w:cs="Arial"/>
        </w:rPr>
      </w:pPr>
      <w:r>
        <w:rPr>
          <w:rFonts w:ascii="Arial" w:hAnsi="Arial" w:cs="Arial"/>
        </w:rPr>
        <w:t>Les salariés peuvent</w:t>
      </w:r>
      <w:r w:rsidR="007B56A0">
        <w:rPr>
          <w:rFonts w:ascii="Arial" w:hAnsi="Arial" w:cs="Arial"/>
        </w:rPr>
        <w:t> choisir entre :</w:t>
      </w:r>
    </w:p>
    <w:p w:rsidR="007B56A0" w:rsidRDefault="007B56A0" w:rsidP="007B56A0">
      <w:pPr>
        <w:jc w:val="both"/>
        <w:rPr>
          <w:rFonts w:ascii="Arial" w:hAnsi="Arial" w:cs="Arial"/>
        </w:rPr>
      </w:pPr>
      <w:r>
        <w:rPr>
          <w:rFonts w:ascii="Arial" w:hAnsi="Arial" w:cs="Arial"/>
        </w:rPr>
        <w:t>Percevoir immédiatement l’intéressement, qui entre alors dans l’assiette de leur impôt sur le revenu</w:t>
      </w:r>
    </w:p>
    <w:p w:rsidR="00EE63DC" w:rsidRDefault="007B56A0" w:rsidP="007B56A0">
      <w:pPr>
        <w:jc w:val="both"/>
        <w:rPr>
          <w:rFonts w:ascii="Arial" w:hAnsi="Arial" w:cs="Arial"/>
        </w:rPr>
      </w:pPr>
      <w:r>
        <w:rPr>
          <w:rFonts w:ascii="Arial" w:hAnsi="Arial" w:cs="Arial"/>
        </w:rPr>
        <w:t>A</w:t>
      </w:r>
      <w:r w:rsidR="00EE63DC">
        <w:rPr>
          <w:rFonts w:ascii="Arial" w:hAnsi="Arial" w:cs="Arial"/>
        </w:rPr>
        <w:t>ffecter les sommes issues de l’</w:t>
      </w:r>
      <w:r>
        <w:rPr>
          <w:rFonts w:ascii="Arial" w:hAnsi="Arial" w:cs="Arial"/>
        </w:rPr>
        <w:t>intéressement</w:t>
      </w:r>
      <w:r w:rsidR="00EE63DC">
        <w:rPr>
          <w:rFonts w:ascii="Arial" w:hAnsi="Arial" w:cs="Arial"/>
        </w:rPr>
        <w:t xml:space="preserve"> </w:t>
      </w:r>
      <w:r>
        <w:rPr>
          <w:rFonts w:ascii="Arial" w:hAnsi="Arial" w:cs="Arial"/>
        </w:rPr>
        <w:t>au</w:t>
      </w:r>
      <w:r w:rsidR="00EE63DC">
        <w:rPr>
          <w:rFonts w:ascii="Arial" w:hAnsi="Arial" w:cs="Arial"/>
        </w:rPr>
        <w:t xml:space="preserve"> plan d’épargne entreprise, pour bénéficier d’une exonération fiscale. La contrepartie est le blocage de ces sommes pendant 5 ans, ou jusqu’à la retraite si les sommes ont été placées sur le PERCO.</w:t>
      </w:r>
    </w:p>
    <w:p w:rsidR="00B22DBD" w:rsidRDefault="00B22DBD" w:rsidP="007B56A0">
      <w:pPr>
        <w:jc w:val="both"/>
        <w:rPr>
          <w:rFonts w:ascii="Arial" w:hAnsi="Arial" w:cs="Arial"/>
        </w:rPr>
      </w:pPr>
    </w:p>
    <w:p w:rsidR="00B22DBD" w:rsidRDefault="00B22DBD" w:rsidP="007B56A0">
      <w:pPr>
        <w:jc w:val="both"/>
        <w:rPr>
          <w:rFonts w:ascii="Arial" w:hAnsi="Arial" w:cs="Arial"/>
        </w:rPr>
      </w:pPr>
      <w:r>
        <w:rPr>
          <w:rFonts w:ascii="Arial" w:hAnsi="Arial" w:cs="Arial"/>
        </w:rPr>
        <w:t>Il en est de même pour la participation.</w:t>
      </w:r>
    </w:p>
    <w:p w:rsidR="007B56A0" w:rsidRDefault="007B56A0" w:rsidP="00EE63DC">
      <w:pPr>
        <w:jc w:val="both"/>
        <w:rPr>
          <w:rFonts w:ascii="Arial" w:hAnsi="Arial" w:cs="Arial"/>
        </w:rPr>
      </w:pPr>
    </w:p>
    <w:p w:rsidR="00EE63DC" w:rsidRDefault="00EE63DC" w:rsidP="00EE63DC">
      <w:pPr>
        <w:jc w:val="both"/>
        <w:rPr>
          <w:rFonts w:ascii="Arial" w:hAnsi="Arial" w:cs="Arial"/>
        </w:rPr>
      </w:pPr>
      <w:r>
        <w:rPr>
          <w:rFonts w:ascii="Arial" w:hAnsi="Arial" w:cs="Arial"/>
        </w:rPr>
        <w:t>Cas de déblocage anticipé </w:t>
      </w:r>
      <w:r w:rsidR="00C3117C">
        <w:rPr>
          <w:rFonts w:ascii="Arial" w:hAnsi="Arial" w:cs="Arial"/>
        </w:rPr>
        <w:t xml:space="preserve">du plan épargne Groupe </w:t>
      </w:r>
      <w:r>
        <w:rPr>
          <w:rFonts w:ascii="Arial" w:hAnsi="Arial" w:cs="Arial"/>
        </w:rPr>
        <w:t>:</w:t>
      </w:r>
    </w:p>
    <w:p w:rsidR="00EE63DC" w:rsidRDefault="00EE63DC" w:rsidP="00EE63DC">
      <w:pPr>
        <w:jc w:val="both"/>
        <w:rPr>
          <w:rFonts w:ascii="Arial" w:hAnsi="Arial" w:cs="Arial"/>
        </w:rPr>
      </w:pPr>
      <w:r>
        <w:rPr>
          <w:rFonts w:ascii="Arial" w:hAnsi="Arial" w:cs="Arial"/>
        </w:rPr>
        <w:t>Mariage ou PACS</w:t>
      </w:r>
    </w:p>
    <w:p w:rsidR="00EE63DC" w:rsidRDefault="00EE63DC" w:rsidP="00EE63DC">
      <w:pPr>
        <w:jc w:val="both"/>
        <w:rPr>
          <w:rFonts w:ascii="Arial" w:hAnsi="Arial" w:cs="Arial"/>
        </w:rPr>
      </w:pPr>
      <w:r>
        <w:rPr>
          <w:rFonts w:ascii="Arial" w:hAnsi="Arial" w:cs="Arial"/>
        </w:rPr>
        <w:t>Naissance ou arrivée du 3</w:t>
      </w:r>
      <w:r w:rsidRPr="00EE63DC">
        <w:rPr>
          <w:rFonts w:ascii="Arial" w:hAnsi="Arial" w:cs="Arial"/>
          <w:vertAlign w:val="superscript"/>
        </w:rPr>
        <w:t>ème</w:t>
      </w:r>
      <w:r>
        <w:rPr>
          <w:rFonts w:ascii="Arial" w:hAnsi="Arial" w:cs="Arial"/>
        </w:rPr>
        <w:t xml:space="preserve"> enfant au foyer</w:t>
      </w:r>
    </w:p>
    <w:p w:rsidR="00EE63DC" w:rsidRDefault="00EE63DC" w:rsidP="00EE63DC">
      <w:pPr>
        <w:jc w:val="both"/>
        <w:rPr>
          <w:rFonts w:ascii="Arial" w:hAnsi="Arial" w:cs="Arial"/>
        </w:rPr>
      </w:pPr>
      <w:r>
        <w:rPr>
          <w:rFonts w:ascii="Arial" w:hAnsi="Arial" w:cs="Arial"/>
        </w:rPr>
        <w:t>Divorce ou dissolution du PACS</w:t>
      </w:r>
    </w:p>
    <w:p w:rsidR="00EE63DC" w:rsidRDefault="00EE63DC" w:rsidP="00EE63DC">
      <w:pPr>
        <w:jc w:val="both"/>
        <w:rPr>
          <w:rFonts w:ascii="Arial" w:hAnsi="Arial" w:cs="Arial"/>
        </w:rPr>
      </w:pPr>
      <w:r>
        <w:rPr>
          <w:rFonts w:ascii="Arial" w:hAnsi="Arial" w:cs="Arial"/>
        </w:rPr>
        <w:t>Invalidité</w:t>
      </w:r>
    </w:p>
    <w:p w:rsidR="00EE63DC" w:rsidRDefault="00EE63DC" w:rsidP="00EE63DC">
      <w:pPr>
        <w:jc w:val="both"/>
        <w:rPr>
          <w:rFonts w:ascii="Arial" w:hAnsi="Arial" w:cs="Arial"/>
        </w:rPr>
      </w:pPr>
      <w:r>
        <w:rPr>
          <w:rFonts w:ascii="Arial" w:hAnsi="Arial" w:cs="Arial"/>
        </w:rPr>
        <w:t>Décès</w:t>
      </w:r>
    </w:p>
    <w:p w:rsidR="00EE63DC" w:rsidRDefault="00EE63DC" w:rsidP="00EE63DC">
      <w:pPr>
        <w:jc w:val="both"/>
        <w:rPr>
          <w:rFonts w:ascii="Arial" w:hAnsi="Arial" w:cs="Arial"/>
        </w:rPr>
      </w:pPr>
      <w:r>
        <w:rPr>
          <w:rFonts w:ascii="Arial" w:hAnsi="Arial" w:cs="Arial"/>
        </w:rPr>
        <w:t>Cessation du contrat de travail</w:t>
      </w:r>
    </w:p>
    <w:p w:rsidR="00EE63DC" w:rsidRDefault="00EE63DC" w:rsidP="00EE63DC">
      <w:pPr>
        <w:jc w:val="both"/>
        <w:rPr>
          <w:rFonts w:ascii="Arial" w:hAnsi="Arial" w:cs="Arial"/>
        </w:rPr>
      </w:pPr>
      <w:r>
        <w:rPr>
          <w:rFonts w:ascii="Arial" w:hAnsi="Arial" w:cs="Arial"/>
        </w:rPr>
        <w:t>Création d’entreprise</w:t>
      </w:r>
    </w:p>
    <w:p w:rsidR="00EE63DC" w:rsidRDefault="00EE63DC" w:rsidP="00EE63DC">
      <w:pPr>
        <w:jc w:val="both"/>
        <w:rPr>
          <w:rFonts w:ascii="Arial" w:hAnsi="Arial" w:cs="Arial"/>
        </w:rPr>
      </w:pPr>
      <w:r>
        <w:rPr>
          <w:rFonts w:ascii="Arial" w:hAnsi="Arial" w:cs="Arial"/>
        </w:rPr>
        <w:t>Acquisition ou agrandissement de la résidence principale</w:t>
      </w:r>
    </w:p>
    <w:p w:rsidR="00EE63DC" w:rsidRDefault="00EE63DC" w:rsidP="00EE63DC">
      <w:pPr>
        <w:jc w:val="both"/>
        <w:rPr>
          <w:rFonts w:ascii="Arial" w:hAnsi="Arial" w:cs="Arial"/>
        </w:rPr>
      </w:pPr>
      <w:r>
        <w:rPr>
          <w:rFonts w:ascii="Arial" w:hAnsi="Arial" w:cs="Arial"/>
        </w:rPr>
        <w:t>Surendettement</w:t>
      </w:r>
    </w:p>
    <w:p w:rsidR="00B23BDE" w:rsidRDefault="00B23BDE" w:rsidP="00B23BDE">
      <w:pPr>
        <w:pStyle w:val="Paragraphedeliste"/>
        <w:rPr>
          <w:rFonts w:ascii="Arial" w:hAnsi="Arial" w:cs="Arial"/>
        </w:rPr>
      </w:pPr>
    </w:p>
    <w:p w:rsidR="008D4633" w:rsidRPr="00752B15" w:rsidRDefault="00B23BDE" w:rsidP="008D4633">
      <w:pPr>
        <w:numPr>
          <w:ilvl w:val="0"/>
          <w:numId w:val="1"/>
        </w:numPr>
        <w:jc w:val="both"/>
        <w:rPr>
          <w:rFonts w:ascii="Arial" w:hAnsi="Arial" w:cs="Arial"/>
          <w:color w:val="1F497D" w:themeColor="text2"/>
        </w:rPr>
      </w:pPr>
      <w:r w:rsidRPr="00752B15">
        <w:rPr>
          <w:rFonts w:ascii="Arial" w:hAnsi="Arial" w:cs="Arial"/>
          <w:color w:val="1F497D" w:themeColor="text2"/>
        </w:rPr>
        <w:t>Quel est l’impact pour les salariés de la mise en œuvre de la nouvelle loi de financement de la sécurité sociale (modification de la taxe sur la participation, l’intéressement et l’abondement) ?</w:t>
      </w:r>
    </w:p>
    <w:p w:rsidR="002804DA" w:rsidRDefault="002804DA" w:rsidP="008D4633">
      <w:pPr>
        <w:jc w:val="both"/>
        <w:rPr>
          <w:rFonts w:ascii="Arial" w:hAnsi="Arial" w:cs="Arial"/>
        </w:rPr>
      </w:pPr>
    </w:p>
    <w:p w:rsidR="008D4633" w:rsidRPr="008D4633" w:rsidRDefault="008D4633" w:rsidP="00752B15">
      <w:pPr>
        <w:jc w:val="both"/>
        <w:rPr>
          <w:rFonts w:ascii="Arial" w:hAnsi="Arial" w:cs="Arial"/>
        </w:rPr>
      </w:pPr>
      <w:r w:rsidRPr="00752B15">
        <w:rPr>
          <w:rFonts w:ascii="Arial" w:hAnsi="Arial" w:cs="Arial"/>
          <w:u w:val="single"/>
        </w:rPr>
        <w:t>Réponse</w:t>
      </w:r>
      <w:r>
        <w:rPr>
          <w:rFonts w:ascii="Arial" w:hAnsi="Arial" w:cs="Arial"/>
        </w:rPr>
        <w:t> :</w:t>
      </w:r>
      <w:r w:rsidR="00D50524">
        <w:rPr>
          <w:rFonts w:ascii="Arial" w:hAnsi="Arial" w:cs="Arial"/>
        </w:rPr>
        <w:t xml:space="preserve"> </w:t>
      </w:r>
      <w:r w:rsidR="00752B15">
        <w:rPr>
          <w:rFonts w:ascii="Arial" w:hAnsi="Arial" w:cs="Arial"/>
        </w:rPr>
        <w:t>La réponse à cette question sera apportée lors de la prochaine réunion de délégués du personnel</w:t>
      </w:r>
      <w:r w:rsidR="00D50524">
        <w:rPr>
          <w:rFonts w:ascii="Arial" w:hAnsi="Arial" w:cs="Arial"/>
        </w:rPr>
        <w:t>.</w:t>
      </w:r>
    </w:p>
    <w:p w:rsidR="00B23BDE" w:rsidRDefault="00B23BDE" w:rsidP="00B23BDE">
      <w:pPr>
        <w:jc w:val="both"/>
        <w:rPr>
          <w:rFonts w:ascii="Arial" w:hAnsi="Arial" w:cs="Arial"/>
        </w:rPr>
      </w:pPr>
      <w:r>
        <w:rPr>
          <w:rFonts w:ascii="Arial" w:hAnsi="Arial" w:cs="Arial"/>
        </w:rPr>
        <w:t xml:space="preserve"> </w:t>
      </w:r>
    </w:p>
    <w:p w:rsidR="00B23BDE" w:rsidRPr="00752B15" w:rsidRDefault="00B23BDE" w:rsidP="00B23BDE">
      <w:pPr>
        <w:numPr>
          <w:ilvl w:val="0"/>
          <w:numId w:val="1"/>
        </w:numPr>
        <w:jc w:val="both"/>
        <w:rPr>
          <w:rFonts w:ascii="Arial" w:hAnsi="Arial" w:cs="Arial"/>
          <w:color w:val="1F497D" w:themeColor="text2"/>
        </w:rPr>
      </w:pPr>
      <w:r w:rsidRPr="00752B15">
        <w:rPr>
          <w:rFonts w:ascii="Arial" w:hAnsi="Arial" w:cs="Arial"/>
          <w:color w:val="1F497D" w:themeColor="text2"/>
        </w:rPr>
        <w:t>Comment sont calculées les Augmentations Individuelles vis-à-vis des niveaux de maîtrise de poste ?</w:t>
      </w:r>
    </w:p>
    <w:p w:rsidR="002804DA" w:rsidRDefault="002804DA" w:rsidP="002804DA">
      <w:pPr>
        <w:jc w:val="both"/>
        <w:rPr>
          <w:rFonts w:ascii="Arial" w:hAnsi="Arial" w:cs="Arial"/>
        </w:rPr>
      </w:pPr>
    </w:p>
    <w:p w:rsidR="002804DA" w:rsidRDefault="002804DA" w:rsidP="002804DA">
      <w:pPr>
        <w:jc w:val="both"/>
        <w:rPr>
          <w:rFonts w:ascii="Arial" w:hAnsi="Arial" w:cs="Arial"/>
        </w:rPr>
      </w:pPr>
      <w:r w:rsidRPr="00752B15">
        <w:rPr>
          <w:rFonts w:ascii="Arial" w:hAnsi="Arial" w:cs="Arial"/>
          <w:u w:val="single"/>
        </w:rPr>
        <w:t>Réponse</w:t>
      </w:r>
      <w:r>
        <w:rPr>
          <w:rFonts w:ascii="Arial" w:hAnsi="Arial" w:cs="Arial"/>
        </w:rPr>
        <w:t> : plusieurs éléments sont à prendre en compte par le manager :</w:t>
      </w:r>
    </w:p>
    <w:p w:rsidR="002804DA" w:rsidRDefault="002804DA" w:rsidP="002804DA">
      <w:pPr>
        <w:jc w:val="both"/>
        <w:rPr>
          <w:rFonts w:ascii="Arial" w:hAnsi="Arial" w:cs="Arial"/>
        </w:rPr>
      </w:pPr>
      <w:r>
        <w:rPr>
          <w:rFonts w:ascii="Arial" w:hAnsi="Arial" w:cs="Arial"/>
        </w:rPr>
        <w:t>La maîtrise du poste (</w:t>
      </w:r>
      <w:r w:rsidR="00B649E6">
        <w:rPr>
          <w:rFonts w:ascii="Arial" w:hAnsi="Arial" w:cs="Arial"/>
        </w:rPr>
        <w:t>savoir-faire</w:t>
      </w:r>
      <w:r>
        <w:rPr>
          <w:rFonts w:ascii="Arial" w:hAnsi="Arial" w:cs="Arial"/>
        </w:rPr>
        <w:t xml:space="preserve"> dans le poste, contribution aux résultats, travail en équipe)</w:t>
      </w:r>
    </w:p>
    <w:p w:rsidR="002804DA" w:rsidRDefault="002804DA" w:rsidP="002804DA">
      <w:pPr>
        <w:jc w:val="both"/>
        <w:rPr>
          <w:rFonts w:ascii="Arial" w:hAnsi="Arial" w:cs="Arial"/>
        </w:rPr>
      </w:pPr>
      <w:r>
        <w:rPr>
          <w:rFonts w:ascii="Arial" w:hAnsi="Arial" w:cs="Arial"/>
        </w:rPr>
        <w:t>La contribution dans l’organisation</w:t>
      </w:r>
    </w:p>
    <w:p w:rsidR="002804DA" w:rsidRDefault="002804DA" w:rsidP="002804DA">
      <w:pPr>
        <w:jc w:val="both"/>
        <w:rPr>
          <w:rFonts w:ascii="Arial" w:hAnsi="Arial" w:cs="Arial"/>
        </w:rPr>
      </w:pPr>
      <w:r>
        <w:rPr>
          <w:rFonts w:ascii="Arial" w:hAnsi="Arial" w:cs="Arial"/>
        </w:rPr>
        <w:t>Le parcours et les perspectives d’évolution du collaborateur</w:t>
      </w:r>
    </w:p>
    <w:p w:rsidR="002804DA" w:rsidRDefault="002804DA" w:rsidP="002804DA">
      <w:pPr>
        <w:jc w:val="both"/>
        <w:rPr>
          <w:rFonts w:ascii="Arial" w:hAnsi="Arial" w:cs="Arial"/>
        </w:rPr>
      </w:pPr>
      <w:r>
        <w:rPr>
          <w:rFonts w:ascii="Arial" w:hAnsi="Arial" w:cs="Arial"/>
        </w:rPr>
        <w:t>L’importance du poste dans l’organisation</w:t>
      </w:r>
    </w:p>
    <w:p w:rsidR="002804DA" w:rsidRDefault="002804DA" w:rsidP="002804DA">
      <w:pPr>
        <w:jc w:val="both"/>
        <w:rPr>
          <w:rFonts w:ascii="Arial" w:hAnsi="Arial" w:cs="Arial"/>
        </w:rPr>
      </w:pPr>
    </w:p>
    <w:p w:rsidR="002804DA" w:rsidRDefault="002804DA" w:rsidP="002804DA">
      <w:pPr>
        <w:jc w:val="both"/>
        <w:rPr>
          <w:rFonts w:ascii="Arial" w:hAnsi="Arial" w:cs="Arial"/>
        </w:rPr>
      </w:pPr>
      <w:r>
        <w:rPr>
          <w:rFonts w:ascii="Arial" w:hAnsi="Arial" w:cs="Arial"/>
        </w:rPr>
        <w:t>Ainsi que le positionnement marché.</w:t>
      </w:r>
    </w:p>
    <w:p w:rsidR="00B23BDE" w:rsidRDefault="00B23BDE" w:rsidP="00B23BDE">
      <w:pPr>
        <w:pStyle w:val="Paragraphedeliste"/>
        <w:rPr>
          <w:rFonts w:ascii="Arial" w:hAnsi="Arial" w:cs="Arial"/>
        </w:rPr>
      </w:pPr>
    </w:p>
    <w:p w:rsidR="00B23BDE" w:rsidRPr="00752B15" w:rsidRDefault="00B23BDE" w:rsidP="006E4C63">
      <w:pPr>
        <w:numPr>
          <w:ilvl w:val="0"/>
          <w:numId w:val="1"/>
        </w:numPr>
        <w:jc w:val="both"/>
        <w:rPr>
          <w:rFonts w:ascii="Arial" w:hAnsi="Arial" w:cs="Arial"/>
          <w:color w:val="1F497D" w:themeColor="text2"/>
        </w:rPr>
      </w:pPr>
      <w:r w:rsidRPr="00752B15">
        <w:rPr>
          <w:rFonts w:ascii="Arial" w:hAnsi="Arial" w:cs="Arial"/>
          <w:color w:val="1F497D" w:themeColor="text2"/>
        </w:rPr>
        <w:t>Les fiches de postes décrivant les métiers de Chargé de Mission et Chargé de Mission Senior devaient être inclues dans e-hr-together pour l’EAA 2013. La campagne est commencée, mais ces fiches de poste n’apparaissent pas. Ont-elles réellement été formalisées ?</w:t>
      </w:r>
    </w:p>
    <w:p w:rsidR="006E4C63" w:rsidRDefault="006E4C63" w:rsidP="006E4C63">
      <w:pPr>
        <w:jc w:val="both"/>
        <w:rPr>
          <w:rFonts w:ascii="Arial" w:hAnsi="Arial" w:cs="Arial"/>
        </w:rPr>
      </w:pPr>
    </w:p>
    <w:p w:rsidR="006E4C63" w:rsidRDefault="006E4C63" w:rsidP="006E4C63">
      <w:pPr>
        <w:jc w:val="both"/>
        <w:rPr>
          <w:rFonts w:ascii="Arial" w:hAnsi="Arial" w:cs="Arial"/>
        </w:rPr>
      </w:pPr>
      <w:r w:rsidRPr="00752B15">
        <w:rPr>
          <w:rFonts w:ascii="Arial" w:hAnsi="Arial" w:cs="Arial"/>
          <w:u w:val="single"/>
        </w:rPr>
        <w:t>Réponse </w:t>
      </w:r>
      <w:r>
        <w:rPr>
          <w:rFonts w:ascii="Arial" w:hAnsi="Arial" w:cs="Arial"/>
        </w:rPr>
        <w:t xml:space="preserve">: </w:t>
      </w:r>
      <w:r w:rsidR="00AE2D60">
        <w:rPr>
          <w:rFonts w:ascii="Arial" w:hAnsi="Arial" w:cs="Arial"/>
        </w:rPr>
        <w:t>Les fiches CM et CMS doivent être écrites. Les fiches évaluateur et évaluateur senior doivent être mises à jour. Ces actions sont reprises par la responsable qualité et sécurité pour ISO.</w:t>
      </w:r>
    </w:p>
    <w:p w:rsidR="006E4C63" w:rsidRDefault="006E4C63" w:rsidP="006E4C63">
      <w:pPr>
        <w:jc w:val="both"/>
        <w:rPr>
          <w:rFonts w:ascii="Arial" w:hAnsi="Arial" w:cs="Arial"/>
        </w:rPr>
      </w:pPr>
    </w:p>
    <w:p w:rsidR="006E4C63" w:rsidRPr="006E4C63" w:rsidRDefault="006E4C63" w:rsidP="006E4C63">
      <w:pPr>
        <w:jc w:val="both"/>
        <w:rPr>
          <w:rFonts w:ascii="Arial" w:hAnsi="Arial" w:cs="Arial"/>
        </w:rPr>
      </w:pPr>
    </w:p>
    <w:p w:rsidR="00B23BDE" w:rsidRDefault="00B23BDE" w:rsidP="00B23BDE">
      <w:pPr>
        <w:numPr>
          <w:ilvl w:val="0"/>
          <w:numId w:val="1"/>
        </w:numPr>
        <w:jc w:val="both"/>
      </w:pPr>
      <w:r w:rsidRPr="001E4BAB">
        <w:rPr>
          <w:rFonts w:ascii="Arial" w:hAnsi="Arial" w:cs="Arial"/>
          <w:color w:val="1F497D" w:themeColor="text2"/>
        </w:rPr>
        <w:t>Point économique domaine ISO.</w:t>
      </w:r>
    </w:p>
    <w:p w:rsidR="00C060A1" w:rsidRDefault="00C060A1"/>
    <w:sectPr w:rsidR="00C060A1" w:rsidSect="00EE3A2E">
      <w:pgSz w:w="11906" w:h="16838"/>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B621C"/>
    <w:multiLevelType w:val="hybridMultilevel"/>
    <w:tmpl w:val="AC0AA7B0"/>
    <w:lvl w:ilvl="0" w:tplc="0409000F">
      <w:start w:val="1"/>
      <w:numFmt w:val="decimal"/>
      <w:lvlText w:val="%1."/>
      <w:lvlJc w:val="left"/>
      <w:pPr>
        <w:tabs>
          <w:tab w:val="num" w:pos="360"/>
        </w:tabs>
        <w:ind w:left="360" w:hanging="360"/>
      </w:pPr>
    </w:lvl>
    <w:lvl w:ilvl="1" w:tplc="98BE1BE0">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7"/>
    <w:rsid w:val="000A447A"/>
    <w:rsid w:val="0014539F"/>
    <w:rsid w:val="001847F0"/>
    <w:rsid w:val="001E4BAB"/>
    <w:rsid w:val="002804DA"/>
    <w:rsid w:val="002E7174"/>
    <w:rsid w:val="00317F8F"/>
    <w:rsid w:val="003405EC"/>
    <w:rsid w:val="00464B7F"/>
    <w:rsid w:val="004A01B1"/>
    <w:rsid w:val="004B6153"/>
    <w:rsid w:val="00572C5C"/>
    <w:rsid w:val="00640653"/>
    <w:rsid w:val="006C47DB"/>
    <w:rsid w:val="006E4C63"/>
    <w:rsid w:val="00737283"/>
    <w:rsid w:val="00742E22"/>
    <w:rsid w:val="00752B15"/>
    <w:rsid w:val="007B56A0"/>
    <w:rsid w:val="00846F71"/>
    <w:rsid w:val="00862ED5"/>
    <w:rsid w:val="0089533F"/>
    <w:rsid w:val="008D4633"/>
    <w:rsid w:val="009276FF"/>
    <w:rsid w:val="009F1528"/>
    <w:rsid w:val="00AE2D60"/>
    <w:rsid w:val="00B22DBD"/>
    <w:rsid w:val="00B23BDE"/>
    <w:rsid w:val="00B643D0"/>
    <w:rsid w:val="00B649E6"/>
    <w:rsid w:val="00BA6A47"/>
    <w:rsid w:val="00C060A1"/>
    <w:rsid w:val="00C3117C"/>
    <w:rsid w:val="00C60349"/>
    <w:rsid w:val="00C71642"/>
    <w:rsid w:val="00C90BF5"/>
    <w:rsid w:val="00CC2F16"/>
    <w:rsid w:val="00D50524"/>
    <w:rsid w:val="00D72962"/>
    <w:rsid w:val="00DD5A51"/>
    <w:rsid w:val="00DF0C3E"/>
    <w:rsid w:val="00EE3A2E"/>
    <w:rsid w:val="00EE63DC"/>
    <w:rsid w:val="00EF6677"/>
    <w:rsid w:val="00F46E4A"/>
    <w:rsid w:val="00F91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23BDE"/>
    <w:pPr>
      <w:keepNext/>
      <w:outlineLvl w:val="0"/>
    </w:pPr>
    <w:rPr>
      <w:rFonts w:ascii="Arial" w:eastAsia="Arial Unicode MS" w:hAnsi="Arial" w:cs="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23BDE"/>
    <w:rPr>
      <w:rFonts w:ascii="Arial" w:eastAsia="Arial Unicode MS" w:hAnsi="Arial" w:cs="Arial"/>
      <w:sz w:val="40"/>
      <w:szCs w:val="24"/>
      <w:lang w:eastAsia="fr-FR"/>
    </w:rPr>
  </w:style>
  <w:style w:type="paragraph" w:styleId="Paragraphedeliste">
    <w:name w:val="List Paragraph"/>
    <w:basedOn w:val="Normal"/>
    <w:uiPriority w:val="34"/>
    <w:qFormat/>
    <w:rsid w:val="00B23BDE"/>
    <w:pPr>
      <w:ind w:left="708"/>
    </w:pPr>
  </w:style>
  <w:style w:type="table" w:styleId="Grilledutableau">
    <w:name w:val="Table Grid"/>
    <w:basedOn w:val="TableauNormal"/>
    <w:uiPriority w:val="59"/>
    <w:rsid w:val="000A4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72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D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23BDE"/>
    <w:pPr>
      <w:keepNext/>
      <w:outlineLvl w:val="0"/>
    </w:pPr>
    <w:rPr>
      <w:rFonts w:ascii="Arial" w:eastAsia="Arial Unicode MS" w:hAnsi="Arial" w:cs="Arial"/>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23BDE"/>
    <w:rPr>
      <w:rFonts w:ascii="Arial" w:eastAsia="Arial Unicode MS" w:hAnsi="Arial" w:cs="Arial"/>
      <w:sz w:val="40"/>
      <w:szCs w:val="24"/>
      <w:lang w:eastAsia="fr-FR"/>
    </w:rPr>
  </w:style>
  <w:style w:type="paragraph" w:styleId="Paragraphedeliste">
    <w:name w:val="List Paragraph"/>
    <w:basedOn w:val="Normal"/>
    <w:uiPriority w:val="34"/>
    <w:qFormat/>
    <w:rsid w:val="00B23BDE"/>
    <w:pPr>
      <w:ind w:left="708"/>
    </w:pPr>
  </w:style>
  <w:style w:type="table" w:styleId="Grilledutableau">
    <w:name w:val="Table Grid"/>
    <w:basedOn w:val="TableauNormal"/>
    <w:uiPriority w:val="59"/>
    <w:rsid w:val="000A4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72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peopleonline.corp.thales/portal2011/univers_group.cfm?act=details&amp;id=658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7975</Characters>
  <Application>Microsoft Office Word</Application>
  <DocSecurity>4</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BEAUFILS Gilles</dc:creator>
  <cp:keywords/>
  <dc:description/>
  <cp:lastModifiedBy>SECONDINI Marc</cp:lastModifiedBy>
  <cp:revision>2</cp:revision>
  <dcterms:created xsi:type="dcterms:W3CDTF">2013-02-26T20:55:00Z</dcterms:created>
  <dcterms:modified xsi:type="dcterms:W3CDTF">2013-02-26T20:55:00Z</dcterms:modified>
</cp:coreProperties>
</file>